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3B0" w:rsidRDefault="0040635A" w:rsidP="009213B0">
      <w:pPr>
        <w:pStyle w:val="NoSpacing"/>
        <w:spacing w:line="360" w:lineRule="auto"/>
        <w:jc w:val="center"/>
        <w:rPr>
          <w:rFonts w:ascii="Verdana" w:hAnsi="Verdana" w:cs="Times New Roman"/>
          <w:b/>
          <w:sz w:val="20"/>
          <w:szCs w:val="20"/>
          <w:lang w:val="en-IE"/>
        </w:rPr>
      </w:pPr>
      <w:r>
        <w:rPr>
          <w:rFonts w:ascii="Verdana" w:hAnsi="Verdana" w:cs="Times New Roman"/>
          <w:b/>
          <w:sz w:val="20"/>
          <w:szCs w:val="20"/>
          <w:lang w:val="en-IE"/>
        </w:rPr>
        <w:t>Presentation to Joint Oireachtas Committee on Education and Social Protection</w:t>
      </w:r>
    </w:p>
    <w:p w:rsidR="009213B0" w:rsidRDefault="009213B0" w:rsidP="009213B0">
      <w:pPr>
        <w:pStyle w:val="NoSpacing"/>
        <w:spacing w:line="360" w:lineRule="auto"/>
        <w:jc w:val="center"/>
        <w:rPr>
          <w:rFonts w:ascii="Verdana" w:hAnsi="Verdana" w:cs="Times New Roman"/>
          <w:b/>
          <w:sz w:val="20"/>
          <w:szCs w:val="20"/>
          <w:lang w:val="en-IE"/>
        </w:rPr>
      </w:pPr>
    </w:p>
    <w:p w:rsidR="0040635A" w:rsidRDefault="0040635A" w:rsidP="0040635A">
      <w:pPr>
        <w:pStyle w:val="NoSpacing"/>
        <w:jc w:val="center"/>
        <w:rPr>
          <w:rFonts w:ascii="Verdana" w:hAnsi="Verdana" w:cs="Times New Roman"/>
          <w:b/>
          <w:sz w:val="20"/>
          <w:szCs w:val="20"/>
          <w:lang w:val="en-IE"/>
        </w:rPr>
      </w:pPr>
    </w:p>
    <w:p w:rsidR="0040635A" w:rsidRDefault="0040635A" w:rsidP="0040635A">
      <w:pPr>
        <w:pStyle w:val="NoSpacing"/>
        <w:jc w:val="center"/>
        <w:rPr>
          <w:rFonts w:ascii="Verdana" w:hAnsi="Verdana" w:cs="Times New Roman"/>
          <w:b/>
          <w:sz w:val="20"/>
          <w:szCs w:val="20"/>
          <w:lang w:val="en-IE"/>
        </w:rPr>
      </w:pPr>
    </w:p>
    <w:p w:rsidR="009213B0" w:rsidRPr="0040635A" w:rsidRDefault="009213B0" w:rsidP="0040635A">
      <w:pPr>
        <w:pStyle w:val="NoSpacing"/>
        <w:jc w:val="center"/>
        <w:rPr>
          <w:rFonts w:ascii="Verdana" w:hAnsi="Verdana" w:cs="Times New Roman"/>
          <w:b/>
          <w:sz w:val="20"/>
          <w:szCs w:val="20"/>
          <w:lang w:val="en-IE"/>
        </w:rPr>
      </w:pPr>
      <w:proofErr w:type="spellStart"/>
      <w:r w:rsidRPr="0040635A">
        <w:rPr>
          <w:rFonts w:ascii="Verdana" w:hAnsi="Verdana" w:cs="Times New Roman"/>
          <w:b/>
          <w:sz w:val="20"/>
          <w:szCs w:val="20"/>
          <w:lang w:val="en-IE"/>
        </w:rPr>
        <w:t>Dr.</w:t>
      </w:r>
      <w:proofErr w:type="spellEnd"/>
      <w:r w:rsidRPr="0040635A">
        <w:rPr>
          <w:rFonts w:ascii="Verdana" w:hAnsi="Verdana" w:cs="Times New Roman"/>
          <w:b/>
          <w:sz w:val="20"/>
          <w:szCs w:val="20"/>
          <w:lang w:val="en-IE"/>
        </w:rPr>
        <w:t xml:space="preserve"> Greg Foley</w:t>
      </w:r>
    </w:p>
    <w:p w:rsidR="009213B0" w:rsidRPr="0040635A" w:rsidRDefault="009213B0" w:rsidP="0040635A">
      <w:pPr>
        <w:pStyle w:val="NoSpacing"/>
        <w:jc w:val="center"/>
        <w:rPr>
          <w:rFonts w:ascii="Verdana" w:hAnsi="Verdana" w:cs="Times New Roman"/>
          <w:sz w:val="20"/>
          <w:szCs w:val="20"/>
          <w:lang w:val="en-IE"/>
        </w:rPr>
      </w:pPr>
      <w:r w:rsidRPr="0040635A">
        <w:rPr>
          <w:rFonts w:ascii="Verdana" w:hAnsi="Verdana" w:cs="Times New Roman"/>
          <w:sz w:val="20"/>
          <w:szCs w:val="20"/>
          <w:lang w:val="en-IE"/>
        </w:rPr>
        <w:t>Associate Dean for Teaching and Learning, Faculty of Science and Health</w:t>
      </w:r>
    </w:p>
    <w:p w:rsidR="009213B0" w:rsidRPr="0040635A" w:rsidRDefault="009213B0" w:rsidP="0040635A">
      <w:pPr>
        <w:pStyle w:val="NoSpacing"/>
        <w:jc w:val="center"/>
        <w:rPr>
          <w:rFonts w:ascii="Verdana" w:hAnsi="Verdana" w:cs="Times New Roman"/>
          <w:sz w:val="20"/>
          <w:szCs w:val="20"/>
          <w:lang w:val="en-IE"/>
        </w:rPr>
      </w:pPr>
      <w:r w:rsidRPr="0040635A">
        <w:rPr>
          <w:rFonts w:ascii="Verdana" w:hAnsi="Verdana" w:cs="Times New Roman"/>
          <w:sz w:val="20"/>
          <w:szCs w:val="20"/>
          <w:lang w:val="en-IE"/>
        </w:rPr>
        <w:t>Lecturer in Bioprocess Engineering, School of Biotechnology</w:t>
      </w:r>
    </w:p>
    <w:p w:rsidR="009213B0" w:rsidRPr="0040635A" w:rsidRDefault="009213B0" w:rsidP="0040635A">
      <w:pPr>
        <w:pStyle w:val="NoSpacing"/>
        <w:jc w:val="center"/>
        <w:rPr>
          <w:rFonts w:ascii="Verdana" w:hAnsi="Verdana" w:cs="Times New Roman"/>
          <w:sz w:val="20"/>
          <w:szCs w:val="20"/>
          <w:lang w:val="en-IE"/>
        </w:rPr>
      </w:pPr>
      <w:r w:rsidRPr="0040635A">
        <w:rPr>
          <w:rFonts w:ascii="Verdana" w:hAnsi="Verdana" w:cs="Times New Roman"/>
          <w:sz w:val="20"/>
          <w:szCs w:val="20"/>
          <w:lang w:val="en-IE"/>
        </w:rPr>
        <w:t>Dublin City University</w:t>
      </w:r>
    </w:p>
    <w:p w:rsidR="001D5763" w:rsidRDefault="001D5763" w:rsidP="0040635A">
      <w:pPr>
        <w:spacing w:line="240" w:lineRule="auto"/>
        <w:rPr>
          <w:lang w:val="en-IE"/>
        </w:rPr>
      </w:pPr>
    </w:p>
    <w:p w:rsidR="0040635A" w:rsidRDefault="0040635A" w:rsidP="009213B0">
      <w:pPr>
        <w:spacing w:line="360" w:lineRule="auto"/>
        <w:jc w:val="center"/>
        <w:rPr>
          <w:rFonts w:ascii="Verdana" w:hAnsi="Verdana"/>
          <w:b/>
          <w:szCs w:val="24"/>
          <w:lang w:val="en-IE"/>
        </w:rPr>
      </w:pPr>
    </w:p>
    <w:p w:rsidR="009213B0" w:rsidRPr="009213B0" w:rsidRDefault="009213B0" w:rsidP="009213B0">
      <w:pPr>
        <w:spacing w:line="360" w:lineRule="auto"/>
        <w:jc w:val="center"/>
        <w:rPr>
          <w:rFonts w:ascii="Verdana" w:hAnsi="Verdana"/>
          <w:b/>
          <w:szCs w:val="24"/>
          <w:lang w:val="en-IE"/>
        </w:rPr>
      </w:pPr>
      <w:r w:rsidRPr="009213B0">
        <w:rPr>
          <w:rFonts w:ascii="Verdana" w:hAnsi="Verdana"/>
          <w:b/>
          <w:szCs w:val="24"/>
          <w:lang w:val="en-IE"/>
        </w:rPr>
        <w:t>Thoughts on the Quality of Teaching and Learning at Third Level</w:t>
      </w:r>
    </w:p>
    <w:p w:rsidR="009213B0" w:rsidRDefault="009213B0" w:rsidP="009213B0">
      <w:pPr>
        <w:pStyle w:val="NormalWeb"/>
        <w:shd w:val="clear" w:color="auto" w:fill="FFFFFF"/>
        <w:spacing w:before="0" w:beforeAutospacing="0" w:after="0" w:afterAutospacing="0" w:line="276" w:lineRule="auto"/>
        <w:textAlignment w:val="baseline"/>
        <w:rPr>
          <w:rFonts w:ascii="Verdana" w:hAnsi="Verdana"/>
          <w:b/>
          <w:color w:val="333333"/>
          <w:sz w:val="20"/>
          <w:szCs w:val="20"/>
        </w:rPr>
      </w:pPr>
    </w:p>
    <w:p w:rsidR="009213B0" w:rsidRPr="009213B0" w:rsidRDefault="009213B0" w:rsidP="009213B0">
      <w:pPr>
        <w:pStyle w:val="NormalWeb"/>
        <w:shd w:val="clear" w:color="auto" w:fill="FFFFFF"/>
        <w:spacing w:before="0" w:beforeAutospacing="0" w:after="0" w:afterAutospacing="0" w:line="276" w:lineRule="auto"/>
        <w:textAlignment w:val="baseline"/>
        <w:rPr>
          <w:rFonts w:ascii="Verdana" w:hAnsi="Verdana"/>
          <w:b/>
          <w:color w:val="333333"/>
          <w:sz w:val="20"/>
          <w:szCs w:val="20"/>
        </w:rPr>
      </w:pPr>
      <w:r w:rsidRPr="009213B0">
        <w:rPr>
          <w:rFonts w:ascii="Verdana" w:hAnsi="Verdana"/>
          <w:b/>
          <w:color w:val="333333"/>
          <w:sz w:val="20"/>
          <w:szCs w:val="20"/>
        </w:rPr>
        <w:t>Background</w:t>
      </w:r>
    </w:p>
    <w:p w:rsidR="009213B0" w:rsidRDefault="009213B0" w:rsidP="009213B0">
      <w:pPr>
        <w:pStyle w:val="NormalWeb"/>
        <w:shd w:val="clear" w:color="auto" w:fill="FFFFFF"/>
        <w:spacing w:before="0" w:beforeAutospacing="0" w:after="0" w:afterAutospacing="0" w:line="276" w:lineRule="auto"/>
        <w:textAlignment w:val="baseline"/>
        <w:rPr>
          <w:rFonts w:ascii="Verdana" w:hAnsi="Verdana"/>
          <w:color w:val="333333"/>
          <w:sz w:val="20"/>
          <w:szCs w:val="20"/>
        </w:rPr>
      </w:pPr>
      <w:r w:rsidRPr="00E44FB5">
        <w:rPr>
          <w:rFonts w:ascii="Verdana" w:hAnsi="Verdana"/>
          <w:color w:val="333333"/>
          <w:sz w:val="20"/>
          <w:szCs w:val="20"/>
        </w:rPr>
        <w:t xml:space="preserve">In a recent EU report on the </w:t>
      </w:r>
      <w:r w:rsidRPr="00E44FB5">
        <w:rPr>
          <w:rFonts w:ascii="Verdana" w:hAnsi="Verdana"/>
          <w:i/>
          <w:color w:val="333333"/>
          <w:sz w:val="20"/>
          <w:szCs w:val="20"/>
        </w:rPr>
        <w:t>Modernisation of Higher Education</w:t>
      </w:r>
      <w:r>
        <w:rPr>
          <w:rStyle w:val="FootnoteReference"/>
          <w:rFonts w:ascii="Verdana" w:hAnsi="Verdana"/>
          <w:i/>
          <w:color w:val="333333"/>
          <w:sz w:val="20"/>
          <w:szCs w:val="20"/>
        </w:rPr>
        <w:footnoteReference w:id="1"/>
      </w:r>
      <w:r>
        <w:rPr>
          <w:rFonts w:ascii="Verdana" w:hAnsi="Verdana"/>
          <w:i/>
          <w:color w:val="333333"/>
          <w:sz w:val="20"/>
          <w:szCs w:val="20"/>
        </w:rPr>
        <w:t>,</w:t>
      </w:r>
      <w:r w:rsidRPr="00E44FB5">
        <w:rPr>
          <w:rFonts w:ascii="Verdana" w:hAnsi="Verdana"/>
          <w:color w:val="333333"/>
          <w:sz w:val="20"/>
          <w:szCs w:val="20"/>
        </w:rPr>
        <w:t xml:space="preserve"> former President, Mary McAleese </w:t>
      </w:r>
      <w:r>
        <w:rPr>
          <w:rFonts w:ascii="Verdana" w:hAnsi="Verdana"/>
          <w:color w:val="333333"/>
          <w:sz w:val="20"/>
          <w:szCs w:val="20"/>
        </w:rPr>
        <w:t>articulated what many other commentators have said</w:t>
      </w:r>
      <w:r w:rsidR="00863075">
        <w:rPr>
          <w:rFonts w:ascii="Verdana" w:hAnsi="Verdana"/>
          <w:color w:val="333333"/>
          <w:sz w:val="20"/>
          <w:szCs w:val="20"/>
        </w:rPr>
        <w:t>,</w:t>
      </w:r>
      <w:r>
        <w:rPr>
          <w:rFonts w:ascii="Verdana" w:hAnsi="Verdana"/>
          <w:color w:val="333333"/>
          <w:sz w:val="20"/>
          <w:szCs w:val="20"/>
        </w:rPr>
        <w:t xml:space="preserve"> and continue to say, namely:</w:t>
      </w:r>
    </w:p>
    <w:p w:rsidR="009213B0" w:rsidRPr="00E44FB5" w:rsidRDefault="009213B0" w:rsidP="009213B0">
      <w:pPr>
        <w:pStyle w:val="NoSpacing"/>
      </w:pPr>
    </w:p>
    <w:p w:rsidR="009213B0" w:rsidRPr="00E44FB5" w:rsidRDefault="009213B0" w:rsidP="00FC167C">
      <w:pPr>
        <w:pStyle w:val="NormalWeb"/>
        <w:shd w:val="clear" w:color="auto" w:fill="FFFFFF"/>
        <w:spacing w:before="0" w:beforeAutospacing="0" w:after="0" w:afterAutospacing="0" w:line="276" w:lineRule="auto"/>
        <w:ind w:left="540" w:right="720"/>
        <w:jc w:val="both"/>
        <w:textAlignment w:val="baseline"/>
        <w:rPr>
          <w:rFonts w:ascii="Verdana" w:hAnsi="Verdana"/>
          <w:color w:val="333333"/>
          <w:sz w:val="20"/>
          <w:szCs w:val="20"/>
        </w:rPr>
      </w:pPr>
      <w:r w:rsidRPr="00E44FB5">
        <w:rPr>
          <w:rFonts w:ascii="Verdana" w:hAnsi="Verdana"/>
          <w:color w:val="333333"/>
          <w:sz w:val="20"/>
          <w:szCs w:val="20"/>
        </w:rPr>
        <w:t>“</w:t>
      </w:r>
      <w:r w:rsidRPr="00E44FB5">
        <w:rPr>
          <w:rFonts w:ascii="Verdana" w:hAnsi="Verdana"/>
          <w:i/>
          <w:iCs/>
          <w:color w:val="333333"/>
          <w:sz w:val="20"/>
          <w:szCs w:val="20"/>
          <w:bdr w:val="none" w:sz="0" w:space="0" w:color="auto" w:frame="1"/>
        </w:rPr>
        <w:t>The balance between research and teaching has been regrettably and unnecessarily thrown out of kilter, with the result that teaching and learning have been overshadowed and even overlooked. It is time to rebalance this</w:t>
      </w:r>
      <w:r w:rsidRPr="00E44FB5">
        <w:rPr>
          <w:rFonts w:ascii="Verdana" w:hAnsi="Verdana"/>
          <w:color w:val="333333"/>
          <w:sz w:val="20"/>
          <w:szCs w:val="20"/>
        </w:rPr>
        <w:t>.”</w:t>
      </w:r>
    </w:p>
    <w:p w:rsidR="009213B0" w:rsidRDefault="009213B0" w:rsidP="009213B0">
      <w:pPr>
        <w:pStyle w:val="NoSpacing"/>
      </w:pPr>
    </w:p>
    <w:p w:rsidR="009213B0" w:rsidRDefault="00651C95" w:rsidP="00C36EE1">
      <w:pPr>
        <w:jc w:val="both"/>
        <w:rPr>
          <w:rFonts w:ascii="Verdana" w:hAnsi="Verdana"/>
          <w:sz w:val="20"/>
          <w:szCs w:val="20"/>
        </w:rPr>
      </w:pPr>
      <w:r>
        <w:rPr>
          <w:rFonts w:ascii="Verdana" w:hAnsi="Verdana"/>
          <w:sz w:val="20"/>
          <w:szCs w:val="20"/>
        </w:rPr>
        <w:t>Fortunately, this statement is quite wrong</w:t>
      </w:r>
      <w:r w:rsidR="00B0191F">
        <w:rPr>
          <w:rFonts w:ascii="Verdana" w:hAnsi="Verdana"/>
          <w:sz w:val="20"/>
          <w:szCs w:val="20"/>
        </w:rPr>
        <w:t xml:space="preserve"> if the intention is to say that teaching </w:t>
      </w:r>
      <w:r w:rsidR="00B0191F" w:rsidRPr="00B0191F">
        <w:rPr>
          <w:rFonts w:ascii="Verdana" w:hAnsi="Verdana"/>
          <w:i/>
          <w:sz w:val="20"/>
          <w:szCs w:val="20"/>
        </w:rPr>
        <w:t>quality</w:t>
      </w:r>
      <w:r w:rsidR="00B0191F">
        <w:rPr>
          <w:rFonts w:ascii="Verdana" w:hAnsi="Verdana"/>
          <w:sz w:val="20"/>
          <w:szCs w:val="20"/>
        </w:rPr>
        <w:t xml:space="preserve"> has been neglected</w:t>
      </w:r>
      <w:r>
        <w:rPr>
          <w:rFonts w:ascii="Verdana" w:hAnsi="Verdana"/>
          <w:sz w:val="20"/>
          <w:szCs w:val="20"/>
        </w:rPr>
        <w:t xml:space="preserve">. Having taught in </w:t>
      </w:r>
      <w:r w:rsidR="009213B0" w:rsidRPr="00A517F0">
        <w:rPr>
          <w:rFonts w:ascii="Verdana" w:hAnsi="Verdana"/>
          <w:sz w:val="20"/>
          <w:szCs w:val="20"/>
        </w:rPr>
        <w:t>DCU</w:t>
      </w:r>
      <w:r>
        <w:rPr>
          <w:rFonts w:ascii="Verdana" w:hAnsi="Verdana"/>
          <w:sz w:val="20"/>
          <w:szCs w:val="20"/>
        </w:rPr>
        <w:t xml:space="preserve"> for the best part of 30 </w:t>
      </w:r>
      <w:r w:rsidR="00126903">
        <w:rPr>
          <w:rFonts w:ascii="Verdana" w:hAnsi="Verdana"/>
          <w:sz w:val="20"/>
          <w:szCs w:val="20"/>
        </w:rPr>
        <w:t>years</w:t>
      </w:r>
      <w:r w:rsidR="00BE0578">
        <w:rPr>
          <w:rFonts w:ascii="Verdana" w:hAnsi="Verdana"/>
          <w:sz w:val="20"/>
          <w:szCs w:val="20"/>
        </w:rPr>
        <w:t xml:space="preserve">, </w:t>
      </w:r>
      <w:r w:rsidR="006939DF">
        <w:rPr>
          <w:rFonts w:ascii="Verdana" w:hAnsi="Verdana"/>
          <w:sz w:val="20"/>
          <w:szCs w:val="20"/>
        </w:rPr>
        <w:t xml:space="preserve">it is </w:t>
      </w:r>
      <w:r w:rsidR="00BE0578">
        <w:rPr>
          <w:rFonts w:ascii="Verdana" w:hAnsi="Verdana"/>
          <w:sz w:val="20"/>
          <w:szCs w:val="20"/>
        </w:rPr>
        <w:t>my view that</w:t>
      </w:r>
      <w:r>
        <w:rPr>
          <w:rFonts w:ascii="Verdana" w:hAnsi="Verdana"/>
          <w:sz w:val="20"/>
          <w:szCs w:val="20"/>
        </w:rPr>
        <w:t xml:space="preserve"> </w:t>
      </w:r>
      <w:r w:rsidR="009213B0" w:rsidRPr="00A517F0">
        <w:rPr>
          <w:rFonts w:ascii="Verdana" w:hAnsi="Verdana"/>
          <w:i/>
          <w:sz w:val="20"/>
          <w:szCs w:val="20"/>
        </w:rPr>
        <w:t xml:space="preserve">there has never been as much emphasis on Teaching and Learning </w:t>
      </w:r>
      <w:r w:rsidR="002D6A0E">
        <w:rPr>
          <w:rFonts w:ascii="Verdana" w:hAnsi="Verdana"/>
          <w:i/>
          <w:sz w:val="20"/>
          <w:szCs w:val="20"/>
        </w:rPr>
        <w:t xml:space="preserve">(T&amp;L) </w:t>
      </w:r>
      <w:r w:rsidR="009213B0" w:rsidRPr="00A517F0">
        <w:rPr>
          <w:rFonts w:ascii="Verdana" w:hAnsi="Verdana"/>
          <w:i/>
          <w:sz w:val="20"/>
          <w:szCs w:val="20"/>
        </w:rPr>
        <w:t>as there is now</w:t>
      </w:r>
      <w:r w:rsidR="009213B0">
        <w:rPr>
          <w:rFonts w:ascii="Verdana" w:hAnsi="Verdana"/>
          <w:sz w:val="20"/>
          <w:szCs w:val="20"/>
        </w:rPr>
        <w:t xml:space="preserve">. </w:t>
      </w:r>
      <w:r w:rsidR="00C36EE1">
        <w:rPr>
          <w:rFonts w:ascii="Verdana" w:hAnsi="Verdana"/>
          <w:sz w:val="20"/>
          <w:szCs w:val="20"/>
        </w:rPr>
        <w:t xml:space="preserve">In this submission I explain why the </w:t>
      </w:r>
      <w:r>
        <w:rPr>
          <w:rFonts w:ascii="Verdana" w:hAnsi="Verdana"/>
          <w:sz w:val="20"/>
          <w:szCs w:val="20"/>
        </w:rPr>
        <w:t xml:space="preserve">above statement by </w:t>
      </w:r>
      <w:r w:rsidR="00B0191F">
        <w:rPr>
          <w:rFonts w:ascii="Verdana" w:hAnsi="Verdana"/>
          <w:sz w:val="20"/>
          <w:szCs w:val="20"/>
        </w:rPr>
        <w:t xml:space="preserve">the </w:t>
      </w:r>
      <w:r w:rsidR="00C36EE1">
        <w:rPr>
          <w:rFonts w:ascii="Verdana" w:hAnsi="Verdana"/>
          <w:sz w:val="20"/>
          <w:szCs w:val="20"/>
        </w:rPr>
        <w:t xml:space="preserve">former President is </w:t>
      </w:r>
      <w:r w:rsidR="00126903">
        <w:rPr>
          <w:rFonts w:ascii="Verdana" w:hAnsi="Verdana"/>
          <w:sz w:val="20"/>
          <w:szCs w:val="20"/>
        </w:rPr>
        <w:t>incorrect,</w:t>
      </w:r>
      <w:r w:rsidR="00C36EE1">
        <w:rPr>
          <w:rFonts w:ascii="Verdana" w:hAnsi="Verdana"/>
          <w:sz w:val="20"/>
          <w:szCs w:val="20"/>
        </w:rPr>
        <w:t xml:space="preserve"> I </w:t>
      </w:r>
      <w:r>
        <w:rPr>
          <w:rFonts w:ascii="Verdana" w:hAnsi="Verdana"/>
          <w:sz w:val="20"/>
          <w:szCs w:val="20"/>
        </w:rPr>
        <w:t>describe</w:t>
      </w:r>
      <w:r w:rsidR="00C36EE1">
        <w:rPr>
          <w:rFonts w:ascii="Verdana" w:hAnsi="Verdana"/>
          <w:sz w:val="20"/>
          <w:szCs w:val="20"/>
        </w:rPr>
        <w:t xml:space="preserve"> what is being done in DCU </w:t>
      </w:r>
      <w:r>
        <w:rPr>
          <w:rFonts w:ascii="Verdana" w:hAnsi="Verdana"/>
          <w:sz w:val="20"/>
          <w:szCs w:val="20"/>
        </w:rPr>
        <w:t xml:space="preserve">in the </w:t>
      </w:r>
      <w:r w:rsidR="002D6A0E">
        <w:rPr>
          <w:rFonts w:ascii="Verdana" w:hAnsi="Verdana"/>
          <w:sz w:val="20"/>
          <w:szCs w:val="20"/>
        </w:rPr>
        <w:t>broad</w:t>
      </w:r>
      <w:r>
        <w:rPr>
          <w:rFonts w:ascii="Verdana" w:hAnsi="Verdana"/>
          <w:sz w:val="20"/>
          <w:szCs w:val="20"/>
        </w:rPr>
        <w:t xml:space="preserve"> area of T&amp;L</w:t>
      </w:r>
      <w:r w:rsidR="005D07BA">
        <w:rPr>
          <w:rFonts w:ascii="Verdana" w:hAnsi="Verdana"/>
          <w:sz w:val="20"/>
          <w:szCs w:val="20"/>
        </w:rPr>
        <w:t xml:space="preserve">, </w:t>
      </w:r>
      <w:r w:rsidR="00C36EE1">
        <w:rPr>
          <w:rFonts w:ascii="Verdana" w:hAnsi="Verdana"/>
          <w:sz w:val="20"/>
          <w:szCs w:val="20"/>
        </w:rPr>
        <w:t xml:space="preserve">I explain why our current efforts at maintaining quality in an era of declining state funding are </w:t>
      </w:r>
      <w:r w:rsidR="005D07BA">
        <w:rPr>
          <w:rFonts w:ascii="Verdana" w:hAnsi="Verdana"/>
          <w:sz w:val="20"/>
          <w:szCs w:val="20"/>
        </w:rPr>
        <w:t xml:space="preserve">beginning to </w:t>
      </w:r>
      <w:r w:rsidR="00863075">
        <w:rPr>
          <w:rFonts w:ascii="Verdana" w:hAnsi="Verdana"/>
          <w:sz w:val="20"/>
          <w:szCs w:val="20"/>
        </w:rPr>
        <w:t>fail</w:t>
      </w:r>
      <w:r w:rsidR="005D07BA">
        <w:rPr>
          <w:rFonts w:ascii="Verdana" w:hAnsi="Verdana"/>
          <w:sz w:val="20"/>
          <w:szCs w:val="20"/>
        </w:rPr>
        <w:t>, and finally I point out that the quality of student learning is being affected by wider cultural forces that are beyond the control of the institutions.</w:t>
      </w:r>
    </w:p>
    <w:p w:rsidR="00100DD1" w:rsidRDefault="00100DD1" w:rsidP="009213B0">
      <w:pPr>
        <w:jc w:val="both"/>
        <w:rPr>
          <w:rFonts w:ascii="Verdana" w:hAnsi="Verdana"/>
          <w:sz w:val="20"/>
          <w:szCs w:val="20"/>
        </w:rPr>
      </w:pPr>
    </w:p>
    <w:p w:rsidR="00D61C44" w:rsidRDefault="00D61C44" w:rsidP="00D61C44">
      <w:pPr>
        <w:pStyle w:val="NormalWeb"/>
        <w:shd w:val="clear" w:color="auto" w:fill="FFFFFF"/>
        <w:spacing w:before="0" w:beforeAutospacing="0" w:after="360" w:afterAutospacing="0" w:line="276" w:lineRule="auto"/>
        <w:jc w:val="both"/>
        <w:textAlignment w:val="baseline"/>
        <w:rPr>
          <w:rFonts w:ascii="Verdana" w:hAnsi="Verdana"/>
          <w:color w:val="000000" w:themeColor="text1"/>
          <w:sz w:val="20"/>
          <w:szCs w:val="20"/>
        </w:rPr>
      </w:pPr>
      <w:r w:rsidRPr="00B321A5">
        <w:rPr>
          <w:rFonts w:ascii="Verdana" w:hAnsi="Verdana"/>
          <w:b/>
          <w:sz w:val="20"/>
          <w:szCs w:val="20"/>
        </w:rPr>
        <w:t>Note:</w:t>
      </w:r>
      <w:r>
        <w:rPr>
          <w:rFonts w:ascii="Verdana" w:hAnsi="Verdana"/>
          <w:sz w:val="20"/>
          <w:szCs w:val="20"/>
        </w:rPr>
        <w:t xml:space="preserve"> </w:t>
      </w:r>
      <w:r>
        <w:rPr>
          <w:rFonts w:ascii="Verdana" w:hAnsi="Verdana"/>
          <w:color w:val="000000" w:themeColor="text1"/>
          <w:sz w:val="20"/>
          <w:szCs w:val="20"/>
        </w:rPr>
        <w:t xml:space="preserve">Notwithstanding the fact that the word ‘teaching’ is used throughout this paper, it is the view of this author that </w:t>
      </w:r>
      <w:r w:rsidR="00B321A5">
        <w:rPr>
          <w:rFonts w:ascii="Verdana" w:hAnsi="Verdana"/>
          <w:color w:val="000000" w:themeColor="text1"/>
          <w:sz w:val="20"/>
          <w:szCs w:val="20"/>
        </w:rPr>
        <w:t>the use of that word</w:t>
      </w:r>
      <w:r>
        <w:rPr>
          <w:rFonts w:ascii="Verdana" w:hAnsi="Verdana"/>
          <w:color w:val="000000" w:themeColor="text1"/>
          <w:sz w:val="20"/>
          <w:szCs w:val="20"/>
        </w:rPr>
        <w:t xml:space="preserve"> in a third level context is problematic. </w:t>
      </w:r>
      <w:r w:rsidR="00B321A5">
        <w:rPr>
          <w:rFonts w:ascii="Verdana" w:hAnsi="Verdana"/>
          <w:color w:val="000000" w:themeColor="text1"/>
          <w:sz w:val="20"/>
          <w:szCs w:val="20"/>
        </w:rPr>
        <w:t xml:space="preserve">Students attend third level education to learn, not to be taught in the traditional sense of the word. Third level education acts as </w:t>
      </w:r>
      <w:r w:rsidR="005D07BA">
        <w:rPr>
          <w:rFonts w:ascii="Verdana" w:hAnsi="Verdana"/>
          <w:color w:val="000000" w:themeColor="text1"/>
          <w:sz w:val="20"/>
          <w:szCs w:val="20"/>
        </w:rPr>
        <w:t xml:space="preserve">a </w:t>
      </w:r>
      <w:r w:rsidR="00B321A5">
        <w:rPr>
          <w:rFonts w:ascii="Verdana" w:hAnsi="Verdana"/>
          <w:color w:val="000000" w:themeColor="text1"/>
          <w:sz w:val="20"/>
          <w:szCs w:val="20"/>
        </w:rPr>
        <w:t xml:space="preserve">transition between secondary school and the workplace and this </w:t>
      </w:r>
      <w:r w:rsidR="005D07BA">
        <w:rPr>
          <w:rFonts w:ascii="Verdana" w:hAnsi="Verdana"/>
          <w:color w:val="000000" w:themeColor="text1"/>
          <w:sz w:val="20"/>
          <w:szCs w:val="20"/>
        </w:rPr>
        <w:t>has to</w:t>
      </w:r>
      <w:r w:rsidR="00B321A5">
        <w:rPr>
          <w:rFonts w:ascii="Verdana" w:hAnsi="Verdana"/>
          <w:color w:val="000000" w:themeColor="text1"/>
          <w:sz w:val="20"/>
          <w:szCs w:val="20"/>
        </w:rPr>
        <w:t xml:space="preserve"> be reflected in the ‘teaching’ methods employed at this level.</w:t>
      </w:r>
    </w:p>
    <w:p w:rsidR="00D61C44" w:rsidRDefault="006939DF" w:rsidP="009213B0">
      <w:pPr>
        <w:jc w:val="both"/>
        <w:rPr>
          <w:rFonts w:ascii="Verdana" w:hAnsi="Verdana"/>
          <w:sz w:val="20"/>
          <w:szCs w:val="20"/>
        </w:rPr>
      </w:pPr>
      <w:r w:rsidRPr="006939DF">
        <w:rPr>
          <w:rFonts w:ascii="Verdana" w:hAnsi="Verdana"/>
          <w:b/>
          <w:sz w:val="20"/>
          <w:szCs w:val="20"/>
        </w:rPr>
        <w:t>Note:</w:t>
      </w:r>
      <w:r w:rsidR="008010D2">
        <w:rPr>
          <w:rFonts w:ascii="Verdana" w:hAnsi="Verdana"/>
          <w:sz w:val="20"/>
          <w:szCs w:val="20"/>
        </w:rPr>
        <w:t xml:space="preserve"> All views expressed are those o</w:t>
      </w:r>
      <w:r>
        <w:rPr>
          <w:rFonts w:ascii="Verdana" w:hAnsi="Verdana"/>
          <w:sz w:val="20"/>
          <w:szCs w:val="20"/>
        </w:rPr>
        <w:t xml:space="preserve">f the author </w:t>
      </w:r>
      <w:r w:rsidR="00E41AB5">
        <w:rPr>
          <w:rFonts w:ascii="Verdana" w:hAnsi="Verdana"/>
          <w:sz w:val="20"/>
          <w:szCs w:val="20"/>
        </w:rPr>
        <w:t>and do not reflect any form of official DCU policy.</w:t>
      </w:r>
    </w:p>
    <w:p w:rsidR="00D61C44" w:rsidRDefault="00D61C44" w:rsidP="009213B0">
      <w:pPr>
        <w:jc w:val="both"/>
        <w:rPr>
          <w:rFonts w:ascii="Verdana" w:hAnsi="Verdana"/>
          <w:sz w:val="20"/>
          <w:szCs w:val="20"/>
        </w:rPr>
      </w:pPr>
    </w:p>
    <w:p w:rsidR="009213B0" w:rsidRPr="009213B0" w:rsidRDefault="0040635A" w:rsidP="007E65D4">
      <w:pPr>
        <w:pStyle w:val="Heading4"/>
        <w:numPr>
          <w:ilvl w:val="0"/>
          <w:numId w:val="2"/>
        </w:numPr>
        <w:ind w:left="360"/>
      </w:pPr>
      <w:r>
        <w:lastRenderedPageBreak/>
        <w:t>Commitment</w:t>
      </w:r>
      <w:r w:rsidR="009213B0">
        <w:t xml:space="preserve"> to Teaching and Learning at DCU</w:t>
      </w:r>
    </w:p>
    <w:p w:rsidR="00CE6FDE" w:rsidRDefault="000048B5" w:rsidP="00EA2E69">
      <w:pPr>
        <w:jc w:val="both"/>
        <w:rPr>
          <w:rFonts w:ascii="Verdana" w:hAnsi="Verdana"/>
          <w:sz w:val="20"/>
          <w:szCs w:val="20"/>
        </w:rPr>
      </w:pPr>
      <w:r>
        <w:rPr>
          <w:rFonts w:ascii="Verdana" w:hAnsi="Verdana"/>
          <w:sz w:val="20"/>
          <w:szCs w:val="20"/>
        </w:rPr>
        <w:t>At the outset, i</w:t>
      </w:r>
      <w:r w:rsidR="009213B0">
        <w:rPr>
          <w:rFonts w:ascii="Verdana" w:hAnsi="Verdana"/>
          <w:sz w:val="20"/>
          <w:szCs w:val="20"/>
        </w:rPr>
        <w:t xml:space="preserve">t is worth </w:t>
      </w:r>
      <w:r>
        <w:rPr>
          <w:rFonts w:ascii="Verdana" w:hAnsi="Verdana"/>
          <w:sz w:val="20"/>
          <w:szCs w:val="20"/>
        </w:rPr>
        <w:t>pointing out</w:t>
      </w:r>
      <w:r w:rsidR="009213B0">
        <w:rPr>
          <w:rFonts w:ascii="Verdana" w:hAnsi="Verdana"/>
          <w:sz w:val="20"/>
          <w:szCs w:val="20"/>
        </w:rPr>
        <w:t xml:space="preserve"> that</w:t>
      </w:r>
      <w:r w:rsidR="009213B0" w:rsidRPr="00A517F0">
        <w:rPr>
          <w:rFonts w:ascii="Verdana" w:hAnsi="Verdana"/>
          <w:sz w:val="20"/>
          <w:szCs w:val="20"/>
        </w:rPr>
        <w:t xml:space="preserve"> promotion procedures in DCU </w:t>
      </w:r>
      <w:r w:rsidR="009213B0">
        <w:rPr>
          <w:rFonts w:ascii="Verdana" w:hAnsi="Verdana"/>
          <w:sz w:val="20"/>
          <w:szCs w:val="20"/>
        </w:rPr>
        <w:t xml:space="preserve">(and </w:t>
      </w:r>
      <w:r>
        <w:rPr>
          <w:rFonts w:ascii="Verdana" w:hAnsi="Verdana"/>
          <w:sz w:val="20"/>
          <w:szCs w:val="20"/>
        </w:rPr>
        <w:t>in other institutions</w:t>
      </w:r>
      <w:r w:rsidR="009213B0">
        <w:rPr>
          <w:rFonts w:ascii="Verdana" w:hAnsi="Verdana"/>
          <w:sz w:val="20"/>
          <w:szCs w:val="20"/>
        </w:rPr>
        <w:t xml:space="preserve">) </w:t>
      </w:r>
      <w:r w:rsidR="009213B0" w:rsidRPr="00A517F0">
        <w:rPr>
          <w:rFonts w:ascii="Verdana" w:hAnsi="Verdana"/>
          <w:sz w:val="20"/>
          <w:szCs w:val="20"/>
        </w:rPr>
        <w:t xml:space="preserve">demand that lecturers provide strong evidence of a commitment to teaching. </w:t>
      </w:r>
      <w:r w:rsidR="00CE6FDE">
        <w:rPr>
          <w:rFonts w:ascii="Verdana" w:hAnsi="Verdana"/>
          <w:sz w:val="20"/>
          <w:szCs w:val="20"/>
        </w:rPr>
        <w:t>As well as providing evidence of teaching quality</w:t>
      </w:r>
      <w:r w:rsidR="00651C95">
        <w:rPr>
          <w:rFonts w:ascii="Verdana" w:hAnsi="Verdana"/>
          <w:sz w:val="20"/>
          <w:szCs w:val="20"/>
        </w:rPr>
        <w:t xml:space="preserve"> (not an easy task</w:t>
      </w:r>
      <w:r w:rsidR="00224388">
        <w:rPr>
          <w:rFonts w:ascii="Verdana" w:hAnsi="Verdana"/>
          <w:sz w:val="20"/>
          <w:szCs w:val="20"/>
        </w:rPr>
        <w:t xml:space="preserve"> in itself</w:t>
      </w:r>
      <w:r w:rsidR="00651C95">
        <w:rPr>
          <w:rFonts w:ascii="Verdana" w:hAnsi="Verdana"/>
          <w:sz w:val="20"/>
          <w:szCs w:val="20"/>
        </w:rPr>
        <w:t>)</w:t>
      </w:r>
      <w:r w:rsidR="00CE6FDE">
        <w:rPr>
          <w:rFonts w:ascii="Verdana" w:hAnsi="Verdana"/>
          <w:sz w:val="20"/>
          <w:szCs w:val="20"/>
        </w:rPr>
        <w:t>, candidates must provid</w:t>
      </w:r>
      <w:r w:rsidR="002D6A0E">
        <w:rPr>
          <w:rFonts w:ascii="Verdana" w:hAnsi="Verdana"/>
          <w:sz w:val="20"/>
          <w:szCs w:val="20"/>
        </w:rPr>
        <w:t xml:space="preserve">e evidence of </w:t>
      </w:r>
      <w:r w:rsidR="00FC167C">
        <w:rPr>
          <w:rFonts w:ascii="Verdana" w:hAnsi="Verdana"/>
          <w:sz w:val="20"/>
          <w:szCs w:val="20"/>
        </w:rPr>
        <w:t>module development</w:t>
      </w:r>
      <w:r w:rsidR="002D6A0E">
        <w:rPr>
          <w:rFonts w:ascii="Verdana" w:hAnsi="Verdana"/>
          <w:sz w:val="20"/>
          <w:szCs w:val="20"/>
        </w:rPr>
        <w:t xml:space="preserve">, </w:t>
      </w:r>
      <w:r w:rsidR="00CE6FDE">
        <w:rPr>
          <w:rFonts w:ascii="Verdana" w:hAnsi="Verdana"/>
          <w:sz w:val="20"/>
          <w:szCs w:val="20"/>
        </w:rPr>
        <w:t>innovation</w:t>
      </w:r>
      <w:r w:rsidR="00FC167C">
        <w:rPr>
          <w:rFonts w:ascii="Verdana" w:hAnsi="Verdana"/>
          <w:sz w:val="20"/>
          <w:szCs w:val="20"/>
        </w:rPr>
        <w:t xml:space="preserve"> a</w:t>
      </w:r>
      <w:r w:rsidR="00CE6FDE">
        <w:rPr>
          <w:rFonts w:ascii="Verdana" w:hAnsi="Verdana"/>
          <w:sz w:val="20"/>
          <w:szCs w:val="20"/>
        </w:rPr>
        <w:t xml:space="preserve">nd leadership in teaching. </w:t>
      </w:r>
      <w:r w:rsidR="009B7813">
        <w:rPr>
          <w:rFonts w:ascii="Verdana" w:hAnsi="Verdana"/>
          <w:sz w:val="20"/>
          <w:szCs w:val="20"/>
        </w:rPr>
        <w:t>I w</w:t>
      </w:r>
      <w:r w:rsidR="00FC167C">
        <w:rPr>
          <w:rFonts w:ascii="Verdana" w:hAnsi="Verdana"/>
          <w:sz w:val="20"/>
          <w:szCs w:val="20"/>
        </w:rPr>
        <w:t>i</w:t>
      </w:r>
      <w:r w:rsidR="009B7813">
        <w:rPr>
          <w:rFonts w:ascii="Verdana" w:hAnsi="Verdana"/>
          <w:sz w:val="20"/>
          <w:szCs w:val="20"/>
        </w:rPr>
        <w:t>ll return to the promo</w:t>
      </w:r>
      <w:r w:rsidR="00FC167C">
        <w:rPr>
          <w:rFonts w:ascii="Verdana" w:hAnsi="Verdana"/>
          <w:sz w:val="20"/>
          <w:szCs w:val="20"/>
        </w:rPr>
        <w:t>tions issue later in this paper.</w:t>
      </w:r>
    </w:p>
    <w:p w:rsidR="009213B0" w:rsidRDefault="00CE6FDE" w:rsidP="00EA2E69">
      <w:pPr>
        <w:jc w:val="both"/>
        <w:rPr>
          <w:rFonts w:ascii="Verdana" w:hAnsi="Verdana"/>
          <w:sz w:val="20"/>
          <w:szCs w:val="20"/>
        </w:rPr>
      </w:pPr>
      <w:r>
        <w:rPr>
          <w:rFonts w:ascii="Verdana" w:hAnsi="Verdana"/>
          <w:sz w:val="20"/>
          <w:szCs w:val="20"/>
        </w:rPr>
        <w:t xml:space="preserve">Within DCU itself, </w:t>
      </w:r>
      <w:r w:rsidR="009213B0" w:rsidRPr="00A517F0">
        <w:rPr>
          <w:rFonts w:ascii="Verdana" w:hAnsi="Verdana"/>
          <w:sz w:val="20"/>
          <w:szCs w:val="20"/>
        </w:rPr>
        <w:t xml:space="preserve">teaching quality is maintained and encouraged using a variety of </w:t>
      </w:r>
      <w:r w:rsidR="002D6A0E">
        <w:rPr>
          <w:rFonts w:ascii="Verdana" w:hAnsi="Verdana"/>
          <w:sz w:val="20"/>
          <w:szCs w:val="20"/>
        </w:rPr>
        <w:t xml:space="preserve">student-centred and systems-centred </w:t>
      </w:r>
      <w:r w:rsidR="009213B0" w:rsidRPr="00A517F0">
        <w:rPr>
          <w:rFonts w:ascii="Verdana" w:hAnsi="Verdana"/>
          <w:sz w:val="20"/>
          <w:szCs w:val="20"/>
        </w:rPr>
        <w:t>mechanism</w:t>
      </w:r>
      <w:r w:rsidR="009213B0">
        <w:rPr>
          <w:rFonts w:ascii="Verdana" w:hAnsi="Verdana"/>
          <w:sz w:val="20"/>
          <w:szCs w:val="20"/>
        </w:rPr>
        <w:t>s</w:t>
      </w:r>
      <w:r w:rsidR="009213B0" w:rsidRPr="00A517F0">
        <w:rPr>
          <w:rFonts w:ascii="Verdana" w:hAnsi="Verdana"/>
          <w:sz w:val="20"/>
          <w:szCs w:val="20"/>
        </w:rPr>
        <w:t xml:space="preserve"> as outlined in </w:t>
      </w:r>
      <w:r w:rsidR="009213B0">
        <w:rPr>
          <w:rFonts w:ascii="Verdana" w:hAnsi="Verdana"/>
          <w:sz w:val="20"/>
          <w:szCs w:val="20"/>
        </w:rPr>
        <w:t xml:space="preserve">the </w:t>
      </w:r>
      <w:r w:rsidR="004953BC">
        <w:rPr>
          <w:rFonts w:ascii="Verdana" w:hAnsi="Verdana"/>
          <w:sz w:val="20"/>
          <w:szCs w:val="20"/>
        </w:rPr>
        <w:t>table below.</w:t>
      </w:r>
    </w:p>
    <w:p w:rsidR="004953BC" w:rsidRDefault="004953BC" w:rsidP="00EA2E69">
      <w:pPr>
        <w:jc w:val="both"/>
        <w:rPr>
          <w:rFonts w:ascii="Verdana" w:hAnsi="Verdana"/>
          <w:sz w:val="20"/>
          <w:szCs w:val="20"/>
        </w:rPr>
      </w:pPr>
    </w:p>
    <w:p w:rsidR="009213B0" w:rsidRPr="00496247" w:rsidRDefault="009213B0" w:rsidP="009213B0">
      <w:pPr>
        <w:pStyle w:val="Heading4"/>
        <w:rPr>
          <w:rFonts w:ascii="Verdana" w:hAnsi="Verdana"/>
          <w:sz w:val="20"/>
          <w:szCs w:val="20"/>
        </w:rPr>
      </w:pPr>
      <w:r w:rsidRPr="00496247">
        <w:rPr>
          <w:rFonts w:ascii="Verdana" w:hAnsi="Verdana"/>
          <w:sz w:val="20"/>
          <w:szCs w:val="20"/>
        </w:rPr>
        <w:t>Table 1 Teaching and Learning Quality Mechanisms in DCU</w:t>
      </w:r>
    </w:p>
    <w:tbl>
      <w:tblPr>
        <w:tblStyle w:val="TableGrid"/>
        <w:tblW w:w="0" w:type="auto"/>
        <w:tblLook w:val="04A0" w:firstRow="1" w:lastRow="0" w:firstColumn="1" w:lastColumn="0" w:noHBand="0" w:noVBand="1"/>
      </w:tblPr>
      <w:tblGrid>
        <w:gridCol w:w="4053"/>
        <w:gridCol w:w="5235"/>
      </w:tblGrid>
      <w:tr w:rsidR="009213B0" w:rsidTr="005D07BA">
        <w:tc>
          <w:tcPr>
            <w:tcW w:w="4053" w:type="dxa"/>
          </w:tcPr>
          <w:p w:rsidR="009213B0" w:rsidRPr="006C19E9" w:rsidRDefault="009213B0" w:rsidP="009B7813">
            <w:pPr>
              <w:pStyle w:val="NoSpacing"/>
              <w:spacing w:line="276" w:lineRule="auto"/>
              <w:rPr>
                <w:b/>
              </w:rPr>
            </w:pPr>
            <w:r w:rsidRPr="006C19E9">
              <w:rPr>
                <w:b/>
              </w:rPr>
              <w:t>Mechanism</w:t>
            </w:r>
          </w:p>
        </w:tc>
        <w:tc>
          <w:tcPr>
            <w:tcW w:w="5235" w:type="dxa"/>
          </w:tcPr>
          <w:p w:rsidR="009213B0" w:rsidRPr="006C19E9" w:rsidRDefault="009213B0" w:rsidP="009B7813">
            <w:pPr>
              <w:pStyle w:val="NoSpacing"/>
              <w:spacing w:line="276" w:lineRule="auto"/>
              <w:rPr>
                <w:b/>
              </w:rPr>
            </w:pPr>
            <w:r w:rsidRPr="006C19E9">
              <w:rPr>
                <w:b/>
              </w:rPr>
              <w:t>Comment</w:t>
            </w:r>
          </w:p>
        </w:tc>
      </w:tr>
      <w:tr w:rsidR="009213B0" w:rsidTr="005D07BA">
        <w:tc>
          <w:tcPr>
            <w:tcW w:w="4053" w:type="dxa"/>
          </w:tcPr>
          <w:p w:rsidR="009213B0" w:rsidRPr="00C57CD2" w:rsidRDefault="009213B0" w:rsidP="00EA2E69">
            <w:pPr>
              <w:pStyle w:val="NoSpacing"/>
              <w:spacing w:line="276" w:lineRule="auto"/>
              <w:rPr>
                <w:rFonts w:ascii="Verdana" w:hAnsi="Verdana"/>
                <w:sz w:val="20"/>
                <w:szCs w:val="20"/>
              </w:rPr>
            </w:pPr>
            <w:r w:rsidRPr="00C57CD2">
              <w:rPr>
                <w:rFonts w:ascii="Verdana" w:hAnsi="Verdana"/>
                <w:sz w:val="20"/>
                <w:szCs w:val="20"/>
              </w:rPr>
              <w:t>Student Surveys of Teaching (SSOT)</w:t>
            </w:r>
          </w:p>
        </w:tc>
        <w:tc>
          <w:tcPr>
            <w:tcW w:w="5235" w:type="dxa"/>
          </w:tcPr>
          <w:p w:rsidR="009213B0" w:rsidRPr="00C57CD2" w:rsidRDefault="009213B0" w:rsidP="00EA2E69">
            <w:pPr>
              <w:pStyle w:val="NoSpacing"/>
              <w:spacing w:line="276" w:lineRule="auto"/>
              <w:rPr>
                <w:rFonts w:ascii="Verdana" w:hAnsi="Verdana"/>
                <w:sz w:val="20"/>
                <w:szCs w:val="20"/>
              </w:rPr>
            </w:pPr>
            <w:r w:rsidRPr="00C57CD2">
              <w:rPr>
                <w:rFonts w:ascii="Verdana" w:hAnsi="Verdana"/>
                <w:sz w:val="20"/>
                <w:szCs w:val="20"/>
              </w:rPr>
              <w:t>Done as a matter of course for all modules</w:t>
            </w:r>
          </w:p>
        </w:tc>
      </w:tr>
      <w:tr w:rsidR="000048B5" w:rsidTr="005D07BA">
        <w:tc>
          <w:tcPr>
            <w:tcW w:w="4053" w:type="dxa"/>
          </w:tcPr>
          <w:p w:rsidR="000048B5" w:rsidRPr="00C57CD2" w:rsidRDefault="00BE0578" w:rsidP="00BE0578">
            <w:pPr>
              <w:pStyle w:val="NoSpacing"/>
              <w:spacing w:line="276" w:lineRule="auto"/>
              <w:rPr>
                <w:rFonts w:ascii="Verdana" w:hAnsi="Verdana"/>
                <w:sz w:val="20"/>
                <w:szCs w:val="20"/>
              </w:rPr>
            </w:pPr>
            <w:r>
              <w:rPr>
                <w:rFonts w:ascii="Verdana" w:hAnsi="Verdana"/>
                <w:sz w:val="20"/>
                <w:szCs w:val="20"/>
              </w:rPr>
              <w:t>C</w:t>
            </w:r>
            <w:r w:rsidR="000048B5">
              <w:rPr>
                <w:rFonts w:ascii="Verdana" w:hAnsi="Verdana"/>
                <w:sz w:val="20"/>
                <w:szCs w:val="20"/>
              </w:rPr>
              <w:t xml:space="preserve">ontinuous </w:t>
            </w:r>
            <w:r w:rsidR="00FC167C">
              <w:rPr>
                <w:rFonts w:ascii="Verdana" w:hAnsi="Verdana"/>
                <w:sz w:val="20"/>
                <w:szCs w:val="20"/>
              </w:rPr>
              <w:t>a</w:t>
            </w:r>
            <w:r w:rsidR="000048B5">
              <w:rPr>
                <w:rFonts w:ascii="Verdana" w:hAnsi="Verdana"/>
                <w:sz w:val="20"/>
                <w:szCs w:val="20"/>
              </w:rPr>
              <w:t>ssessment</w:t>
            </w:r>
          </w:p>
        </w:tc>
        <w:tc>
          <w:tcPr>
            <w:tcW w:w="5235" w:type="dxa"/>
          </w:tcPr>
          <w:p w:rsidR="000048B5" w:rsidRPr="00C57CD2" w:rsidRDefault="00FC167C" w:rsidP="00E41AB5">
            <w:pPr>
              <w:pStyle w:val="NoSpacing"/>
              <w:spacing w:line="276" w:lineRule="auto"/>
              <w:rPr>
                <w:rFonts w:ascii="Verdana" w:hAnsi="Verdana"/>
                <w:sz w:val="20"/>
                <w:szCs w:val="20"/>
              </w:rPr>
            </w:pPr>
            <w:r>
              <w:rPr>
                <w:rFonts w:ascii="Verdana" w:hAnsi="Verdana"/>
                <w:sz w:val="20"/>
                <w:szCs w:val="20"/>
              </w:rPr>
              <w:t xml:space="preserve">Used </w:t>
            </w:r>
            <w:r w:rsidR="000048B5">
              <w:rPr>
                <w:rFonts w:ascii="Verdana" w:hAnsi="Verdana"/>
                <w:sz w:val="20"/>
                <w:szCs w:val="20"/>
              </w:rPr>
              <w:t xml:space="preserve">to </w:t>
            </w:r>
            <w:r w:rsidR="00863075">
              <w:rPr>
                <w:rFonts w:ascii="Verdana" w:hAnsi="Verdana"/>
                <w:sz w:val="20"/>
                <w:szCs w:val="20"/>
              </w:rPr>
              <w:t>diversify</w:t>
            </w:r>
            <w:r w:rsidR="000048B5">
              <w:rPr>
                <w:rFonts w:ascii="Verdana" w:hAnsi="Verdana"/>
                <w:sz w:val="20"/>
                <w:szCs w:val="20"/>
              </w:rPr>
              <w:t xml:space="preserve"> learning a</w:t>
            </w:r>
            <w:r w:rsidR="00863075">
              <w:rPr>
                <w:rFonts w:ascii="Verdana" w:hAnsi="Verdana"/>
                <w:sz w:val="20"/>
                <w:szCs w:val="20"/>
              </w:rPr>
              <w:t>nd to ease pressure on students</w:t>
            </w:r>
            <w:r w:rsidR="00E41AB5">
              <w:rPr>
                <w:rFonts w:ascii="Verdana" w:hAnsi="Verdana"/>
                <w:sz w:val="20"/>
                <w:szCs w:val="20"/>
              </w:rPr>
              <w:t xml:space="preserve"> – this has a significant impact on academic workloads</w:t>
            </w:r>
          </w:p>
        </w:tc>
      </w:tr>
      <w:tr w:rsidR="00CE6FDE" w:rsidTr="005D07BA">
        <w:tc>
          <w:tcPr>
            <w:tcW w:w="4053" w:type="dxa"/>
          </w:tcPr>
          <w:p w:rsidR="00CE6FDE" w:rsidRDefault="00CE6FDE" w:rsidP="00EA2E69">
            <w:pPr>
              <w:pStyle w:val="NoSpacing"/>
              <w:spacing w:line="276" w:lineRule="auto"/>
              <w:rPr>
                <w:rFonts w:ascii="Verdana" w:hAnsi="Verdana"/>
                <w:sz w:val="20"/>
                <w:szCs w:val="20"/>
              </w:rPr>
            </w:pPr>
            <w:r>
              <w:rPr>
                <w:rFonts w:ascii="Verdana" w:hAnsi="Verdana"/>
                <w:sz w:val="20"/>
                <w:szCs w:val="20"/>
              </w:rPr>
              <w:t>Loop</w:t>
            </w:r>
          </w:p>
        </w:tc>
        <w:tc>
          <w:tcPr>
            <w:tcW w:w="5235" w:type="dxa"/>
          </w:tcPr>
          <w:p w:rsidR="00CE6FDE" w:rsidRDefault="00CE6FDE" w:rsidP="00C91628">
            <w:pPr>
              <w:pStyle w:val="NoSpacing"/>
              <w:spacing w:line="276" w:lineRule="auto"/>
              <w:rPr>
                <w:rFonts w:ascii="Verdana" w:hAnsi="Verdana"/>
                <w:sz w:val="20"/>
                <w:szCs w:val="20"/>
              </w:rPr>
            </w:pPr>
            <w:r>
              <w:rPr>
                <w:rFonts w:ascii="Verdana" w:hAnsi="Verdana"/>
                <w:sz w:val="20"/>
                <w:szCs w:val="20"/>
              </w:rPr>
              <w:t xml:space="preserve">Most lecturers make lecture notes and associated materials available </w:t>
            </w:r>
            <w:r w:rsidR="00C91628">
              <w:rPr>
                <w:rFonts w:ascii="Verdana" w:hAnsi="Verdana"/>
                <w:sz w:val="20"/>
                <w:szCs w:val="20"/>
              </w:rPr>
              <w:t>online</w:t>
            </w:r>
            <w:r w:rsidR="00651C95">
              <w:rPr>
                <w:rFonts w:ascii="Verdana" w:hAnsi="Verdana"/>
                <w:sz w:val="20"/>
                <w:szCs w:val="20"/>
              </w:rPr>
              <w:t xml:space="preserve"> using the </w:t>
            </w:r>
            <w:r w:rsidR="00651C95" w:rsidRPr="00651C95">
              <w:rPr>
                <w:rFonts w:ascii="Verdana" w:hAnsi="Verdana"/>
                <w:b/>
                <w:sz w:val="20"/>
                <w:szCs w:val="20"/>
              </w:rPr>
              <w:t>Loop</w:t>
            </w:r>
            <w:r w:rsidR="00651C95">
              <w:rPr>
                <w:rFonts w:ascii="Verdana" w:hAnsi="Verdana"/>
                <w:sz w:val="20"/>
                <w:szCs w:val="20"/>
              </w:rPr>
              <w:t xml:space="preserve"> system</w:t>
            </w:r>
          </w:p>
        </w:tc>
      </w:tr>
      <w:tr w:rsidR="00C91628" w:rsidTr="005D07BA">
        <w:tc>
          <w:tcPr>
            <w:tcW w:w="4053" w:type="dxa"/>
          </w:tcPr>
          <w:p w:rsidR="00C91628" w:rsidRPr="00C57CD2" w:rsidRDefault="00C91628" w:rsidP="009B7813">
            <w:pPr>
              <w:pStyle w:val="NoSpacing"/>
              <w:tabs>
                <w:tab w:val="left" w:pos="1227"/>
              </w:tabs>
              <w:spacing w:line="276" w:lineRule="auto"/>
              <w:rPr>
                <w:rFonts w:ascii="Verdana" w:hAnsi="Verdana"/>
                <w:sz w:val="20"/>
                <w:szCs w:val="20"/>
              </w:rPr>
            </w:pPr>
            <w:r w:rsidRPr="00C57CD2">
              <w:rPr>
                <w:rFonts w:ascii="Verdana" w:hAnsi="Verdana"/>
                <w:sz w:val="20"/>
                <w:szCs w:val="20"/>
              </w:rPr>
              <w:t>School Teaching Meetings</w:t>
            </w:r>
          </w:p>
        </w:tc>
        <w:tc>
          <w:tcPr>
            <w:tcW w:w="5235" w:type="dxa"/>
          </w:tcPr>
          <w:p w:rsidR="00C91628" w:rsidRPr="00C57CD2" w:rsidRDefault="00C91628" w:rsidP="00C91628">
            <w:pPr>
              <w:pStyle w:val="NoSpacing"/>
              <w:spacing w:line="276" w:lineRule="auto"/>
              <w:rPr>
                <w:rFonts w:ascii="Verdana" w:hAnsi="Verdana"/>
                <w:sz w:val="20"/>
                <w:szCs w:val="20"/>
              </w:rPr>
            </w:pPr>
            <w:r>
              <w:rPr>
                <w:rFonts w:ascii="Verdana" w:hAnsi="Verdana"/>
                <w:sz w:val="20"/>
                <w:szCs w:val="20"/>
              </w:rPr>
              <w:t>Attended by s</w:t>
            </w:r>
            <w:r w:rsidRPr="00C57CD2">
              <w:rPr>
                <w:rFonts w:ascii="Verdana" w:hAnsi="Verdana"/>
                <w:sz w:val="20"/>
                <w:szCs w:val="20"/>
              </w:rPr>
              <w:t xml:space="preserve">tudent representatives </w:t>
            </w:r>
          </w:p>
        </w:tc>
      </w:tr>
      <w:tr w:rsidR="00C91628" w:rsidTr="005D07BA">
        <w:tc>
          <w:tcPr>
            <w:tcW w:w="4053" w:type="dxa"/>
          </w:tcPr>
          <w:p w:rsidR="00C91628" w:rsidRPr="00C57CD2" w:rsidRDefault="00C91628" w:rsidP="009B7813">
            <w:pPr>
              <w:pStyle w:val="NoSpacing"/>
              <w:spacing w:line="276" w:lineRule="auto"/>
              <w:rPr>
                <w:rFonts w:ascii="Verdana" w:hAnsi="Verdana"/>
                <w:sz w:val="20"/>
                <w:szCs w:val="20"/>
              </w:rPr>
            </w:pPr>
            <w:r>
              <w:rPr>
                <w:rFonts w:ascii="Verdana" w:hAnsi="Verdana"/>
                <w:sz w:val="20"/>
                <w:szCs w:val="20"/>
              </w:rPr>
              <w:t>Examination Reviews</w:t>
            </w:r>
          </w:p>
        </w:tc>
        <w:tc>
          <w:tcPr>
            <w:tcW w:w="5235" w:type="dxa"/>
          </w:tcPr>
          <w:p w:rsidR="00C91628" w:rsidRPr="00C57CD2" w:rsidRDefault="00C91628" w:rsidP="009B7813">
            <w:pPr>
              <w:pStyle w:val="NoSpacing"/>
              <w:spacing w:line="276" w:lineRule="auto"/>
              <w:rPr>
                <w:rFonts w:ascii="Verdana" w:hAnsi="Verdana"/>
                <w:sz w:val="20"/>
                <w:szCs w:val="20"/>
              </w:rPr>
            </w:pPr>
            <w:r>
              <w:rPr>
                <w:rFonts w:ascii="Verdana" w:hAnsi="Verdana"/>
                <w:sz w:val="20"/>
                <w:szCs w:val="20"/>
              </w:rPr>
              <w:t>All students entitled to view their exam scripts and discuss with lecturer</w:t>
            </w:r>
          </w:p>
        </w:tc>
      </w:tr>
      <w:tr w:rsidR="00B12003" w:rsidTr="005D07BA">
        <w:tc>
          <w:tcPr>
            <w:tcW w:w="4053" w:type="dxa"/>
          </w:tcPr>
          <w:p w:rsidR="00B12003" w:rsidRDefault="00B12003" w:rsidP="009B7813">
            <w:pPr>
              <w:pStyle w:val="NoSpacing"/>
              <w:spacing w:line="276" w:lineRule="auto"/>
              <w:rPr>
                <w:rFonts w:ascii="Verdana" w:hAnsi="Verdana"/>
                <w:sz w:val="20"/>
                <w:szCs w:val="20"/>
              </w:rPr>
            </w:pPr>
            <w:r>
              <w:rPr>
                <w:rFonts w:ascii="Verdana" w:hAnsi="Verdana"/>
                <w:sz w:val="20"/>
                <w:szCs w:val="20"/>
              </w:rPr>
              <w:t>Faculty Teaching Committee</w:t>
            </w:r>
          </w:p>
        </w:tc>
        <w:tc>
          <w:tcPr>
            <w:tcW w:w="5235" w:type="dxa"/>
          </w:tcPr>
          <w:p w:rsidR="00B12003" w:rsidRDefault="00B12003" w:rsidP="00B12003">
            <w:pPr>
              <w:pStyle w:val="NoSpacing"/>
              <w:spacing w:line="276" w:lineRule="auto"/>
              <w:rPr>
                <w:rFonts w:ascii="Verdana" w:hAnsi="Verdana"/>
                <w:sz w:val="20"/>
                <w:szCs w:val="20"/>
              </w:rPr>
            </w:pPr>
            <w:r>
              <w:rPr>
                <w:rFonts w:ascii="Verdana" w:hAnsi="Verdana"/>
                <w:sz w:val="20"/>
                <w:szCs w:val="20"/>
              </w:rPr>
              <w:t>Attended by Student Union rep.</w:t>
            </w:r>
          </w:p>
        </w:tc>
      </w:tr>
      <w:tr w:rsidR="00C91628" w:rsidTr="005D07BA">
        <w:tc>
          <w:tcPr>
            <w:tcW w:w="4053"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External Examiner Reports</w:t>
            </w:r>
          </w:p>
        </w:tc>
        <w:tc>
          <w:tcPr>
            <w:tcW w:w="5235"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Received annually</w:t>
            </w:r>
          </w:p>
        </w:tc>
      </w:tr>
      <w:tr w:rsidR="00C91628" w:rsidTr="005D07BA">
        <w:tc>
          <w:tcPr>
            <w:tcW w:w="4053"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Annual Programme Reviews (APR)</w:t>
            </w:r>
          </w:p>
        </w:tc>
        <w:tc>
          <w:tcPr>
            <w:tcW w:w="5235"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Written annually</w:t>
            </w:r>
            <w:r>
              <w:rPr>
                <w:rFonts w:ascii="Verdana" w:hAnsi="Verdana"/>
                <w:sz w:val="20"/>
                <w:szCs w:val="20"/>
              </w:rPr>
              <w:t xml:space="preserve"> by Programme Chair</w:t>
            </w:r>
          </w:p>
        </w:tc>
      </w:tr>
      <w:tr w:rsidR="00C91628" w:rsidTr="005D07BA">
        <w:tc>
          <w:tcPr>
            <w:tcW w:w="4053"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Periodic Programme Reviews (PPR)</w:t>
            </w:r>
          </w:p>
        </w:tc>
        <w:tc>
          <w:tcPr>
            <w:tcW w:w="5235"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Written at 5-year intervals</w:t>
            </w:r>
            <w:r>
              <w:rPr>
                <w:rFonts w:ascii="Verdana" w:hAnsi="Verdana"/>
                <w:sz w:val="20"/>
                <w:szCs w:val="20"/>
              </w:rPr>
              <w:t xml:space="preserve"> by school </w:t>
            </w:r>
            <w:r w:rsidR="005D07BA">
              <w:rPr>
                <w:rFonts w:ascii="Verdana" w:hAnsi="Verdana"/>
                <w:sz w:val="20"/>
                <w:szCs w:val="20"/>
              </w:rPr>
              <w:t xml:space="preserve">teaching </w:t>
            </w:r>
            <w:r>
              <w:rPr>
                <w:rFonts w:ascii="Verdana" w:hAnsi="Verdana"/>
                <w:sz w:val="20"/>
                <w:szCs w:val="20"/>
              </w:rPr>
              <w:t>committee</w:t>
            </w:r>
          </w:p>
        </w:tc>
      </w:tr>
      <w:tr w:rsidR="00C91628" w:rsidTr="005D07BA">
        <w:tc>
          <w:tcPr>
            <w:tcW w:w="4053" w:type="dxa"/>
          </w:tcPr>
          <w:p w:rsidR="00C91628" w:rsidRPr="00C57CD2" w:rsidRDefault="00C91628" w:rsidP="00EA2E69">
            <w:pPr>
              <w:pStyle w:val="NoSpacing"/>
              <w:spacing w:line="276" w:lineRule="auto"/>
              <w:rPr>
                <w:rFonts w:ascii="Verdana" w:hAnsi="Verdana"/>
                <w:sz w:val="20"/>
                <w:szCs w:val="20"/>
              </w:rPr>
            </w:pPr>
            <w:r>
              <w:rPr>
                <w:rFonts w:ascii="Verdana" w:hAnsi="Verdana"/>
                <w:sz w:val="20"/>
                <w:szCs w:val="20"/>
              </w:rPr>
              <w:t>Annual Module Reviews</w:t>
            </w:r>
          </w:p>
        </w:tc>
        <w:tc>
          <w:tcPr>
            <w:tcW w:w="5235" w:type="dxa"/>
          </w:tcPr>
          <w:p w:rsidR="00C91628" w:rsidRPr="00C57CD2" w:rsidRDefault="00C91628" w:rsidP="00EA2E69">
            <w:pPr>
              <w:pStyle w:val="NoSpacing"/>
              <w:spacing w:line="276" w:lineRule="auto"/>
              <w:rPr>
                <w:rFonts w:ascii="Verdana" w:hAnsi="Verdana"/>
                <w:sz w:val="20"/>
                <w:szCs w:val="20"/>
              </w:rPr>
            </w:pPr>
            <w:r>
              <w:rPr>
                <w:rFonts w:ascii="Verdana" w:hAnsi="Verdana"/>
                <w:sz w:val="20"/>
                <w:szCs w:val="20"/>
              </w:rPr>
              <w:t>To be implemented in 2016/2017</w:t>
            </w:r>
          </w:p>
        </w:tc>
      </w:tr>
      <w:tr w:rsidR="00C91628" w:rsidTr="005D07BA">
        <w:tc>
          <w:tcPr>
            <w:tcW w:w="4053" w:type="dxa"/>
          </w:tcPr>
          <w:p w:rsidR="00C91628" w:rsidRPr="00C57CD2" w:rsidRDefault="00C91628" w:rsidP="00863075">
            <w:pPr>
              <w:pStyle w:val="NoSpacing"/>
              <w:spacing w:line="276" w:lineRule="auto"/>
              <w:rPr>
                <w:rFonts w:ascii="Verdana" w:hAnsi="Verdana"/>
                <w:sz w:val="20"/>
                <w:szCs w:val="20"/>
              </w:rPr>
            </w:pPr>
            <w:r w:rsidRPr="00C57CD2">
              <w:rPr>
                <w:rFonts w:ascii="Verdana" w:hAnsi="Verdana"/>
                <w:sz w:val="20"/>
                <w:szCs w:val="20"/>
              </w:rPr>
              <w:t xml:space="preserve">School </w:t>
            </w:r>
            <w:r w:rsidR="00863075">
              <w:rPr>
                <w:rFonts w:ascii="Verdana" w:hAnsi="Verdana"/>
                <w:sz w:val="20"/>
                <w:szCs w:val="20"/>
              </w:rPr>
              <w:t>Quality R</w:t>
            </w:r>
            <w:r w:rsidRPr="00C57CD2">
              <w:rPr>
                <w:rFonts w:ascii="Verdana" w:hAnsi="Verdana"/>
                <w:sz w:val="20"/>
                <w:szCs w:val="20"/>
              </w:rPr>
              <w:t>eviews</w:t>
            </w:r>
          </w:p>
        </w:tc>
        <w:tc>
          <w:tcPr>
            <w:tcW w:w="5235"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Includes feedback from student focus groups</w:t>
            </w:r>
          </w:p>
        </w:tc>
      </w:tr>
      <w:tr w:rsidR="00C91628" w:rsidTr="005D07BA">
        <w:tc>
          <w:tcPr>
            <w:tcW w:w="4053"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Professional Reviews</w:t>
            </w:r>
          </w:p>
        </w:tc>
        <w:tc>
          <w:tcPr>
            <w:tcW w:w="5235" w:type="dxa"/>
          </w:tcPr>
          <w:p w:rsidR="00C91628" w:rsidRPr="00C57CD2" w:rsidRDefault="00C91628" w:rsidP="008010D2">
            <w:pPr>
              <w:pStyle w:val="NoSpacing"/>
              <w:spacing w:line="276" w:lineRule="auto"/>
              <w:rPr>
                <w:rFonts w:ascii="Verdana" w:hAnsi="Verdana"/>
                <w:sz w:val="20"/>
                <w:szCs w:val="20"/>
              </w:rPr>
            </w:pPr>
            <w:r w:rsidRPr="00C57CD2">
              <w:rPr>
                <w:rFonts w:ascii="Verdana" w:hAnsi="Verdana"/>
                <w:sz w:val="20"/>
                <w:szCs w:val="20"/>
              </w:rPr>
              <w:t>Where required</w:t>
            </w:r>
            <w:r w:rsidR="00FC167C">
              <w:rPr>
                <w:rFonts w:ascii="Verdana" w:hAnsi="Verdana"/>
                <w:sz w:val="20"/>
                <w:szCs w:val="20"/>
              </w:rPr>
              <w:t>,</w:t>
            </w:r>
            <w:r w:rsidRPr="00C57CD2">
              <w:rPr>
                <w:rFonts w:ascii="Verdana" w:hAnsi="Verdana"/>
                <w:sz w:val="20"/>
                <w:szCs w:val="20"/>
              </w:rPr>
              <w:t xml:space="preserve"> e.g. </w:t>
            </w:r>
            <w:r w:rsidR="008010D2">
              <w:rPr>
                <w:rFonts w:ascii="Verdana" w:hAnsi="Verdana"/>
                <w:sz w:val="20"/>
                <w:szCs w:val="20"/>
              </w:rPr>
              <w:t>N</w:t>
            </w:r>
            <w:r w:rsidRPr="00C57CD2">
              <w:rPr>
                <w:rFonts w:ascii="Verdana" w:hAnsi="Verdana"/>
                <w:sz w:val="20"/>
                <w:szCs w:val="20"/>
              </w:rPr>
              <w:t xml:space="preserve">ursing, </w:t>
            </w:r>
            <w:r w:rsidR="008010D2">
              <w:rPr>
                <w:rFonts w:ascii="Verdana" w:hAnsi="Verdana"/>
                <w:sz w:val="20"/>
                <w:szCs w:val="20"/>
              </w:rPr>
              <w:t>E</w:t>
            </w:r>
            <w:r w:rsidRPr="00C57CD2">
              <w:rPr>
                <w:rFonts w:ascii="Verdana" w:hAnsi="Verdana"/>
                <w:sz w:val="20"/>
                <w:szCs w:val="20"/>
              </w:rPr>
              <w:t>ngineering etc.</w:t>
            </w:r>
          </w:p>
        </w:tc>
      </w:tr>
      <w:tr w:rsidR="00C91628" w:rsidTr="005D07BA">
        <w:tc>
          <w:tcPr>
            <w:tcW w:w="4053"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Student Tracking</w:t>
            </w:r>
          </w:p>
        </w:tc>
        <w:tc>
          <w:tcPr>
            <w:tcW w:w="5235"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 xml:space="preserve">At risk students monitored using </w:t>
            </w:r>
            <w:r w:rsidRPr="00651C95">
              <w:rPr>
                <w:rFonts w:ascii="Verdana" w:hAnsi="Verdana"/>
                <w:b/>
                <w:sz w:val="20"/>
                <w:szCs w:val="20"/>
              </w:rPr>
              <w:t>GURU</w:t>
            </w:r>
            <w:r w:rsidRPr="00C57CD2">
              <w:rPr>
                <w:rFonts w:ascii="Verdana" w:hAnsi="Verdana"/>
                <w:sz w:val="20"/>
                <w:szCs w:val="20"/>
              </w:rPr>
              <w:t xml:space="preserve"> software</w:t>
            </w:r>
          </w:p>
        </w:tc>
      </w:tr>
      <w:tr w:rsidR="00C91628" w:rsidTr="005D07BA">
        <w:tc>
          <w:tcPr>
            <w:tcW w:w="4053"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Student Support</w:t>
            </w:r>
          </w:p>
        </w:tc>
        <w:tc>
          <w:tcPr>
            <w:tcW w:w="5235"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 xml:space="preserve">e.g. </w:t>
            </w:r>
            <w:r w:rsidRPr="005D07BA">
              <w:rPr>
                <w:rFonts w:ascii="Verdana" w:hAnsi="Verdana"/>
                <w:sz w:val="20"/>
                <w:szCs w:val="20"/>
              </w:rPr>
              <w:t>Maths Learning Centre</w:t>
            </w:r>
          </w:p>
        </w:tc>
      </w:tr>
      <w:tr w:rsidR="00C91628" w:rsidTr="005D07BA">
        <w:tc>
          <w:tcPr>
            <w:tcW w:w="4053"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Teaching Enhancement Unit</w:t>
            </w:r>
          </w:p>
        </w:tc>
        <w:tc>
          <w:tcPr>
            <w:tcW w:w="5235"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Provides support to all teaching staff</w:t>
            </w:r>
          </w:p>
        </w:tc>
      </w:tr>
      <w:tr w:rsidR="00C91628" w:rsidTr="005D07BA">
        <w:tc>
          <w:tcPr>
            <w:tcW w:w="4053"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President’s Awards for T&amp;L</w:t>
            </w:r>
          </w:p>
        </w:tc>
        <w:tc>
          <w:tcPr>
            <w:tcW w:w="5235" w:type="dxa"/>
          </w:tcPr>
          <w:p w:rsidR="00C91628" w:rsidRPr="00C57CD2" w:rsidRDefault="00C91628" w:rsidP="00EA2E69">
            <w:pPr>
              <w:pStyle w:val="NoSpacing"/>
              <w:spacing w:line="276" w:lineRule="auto"/>
              <w:rPr>
                <w:rFonts w:ascii="Verdana" w:hAnsi="Verdana"/>
                <w:sz w:val="20"/>
                <w:szCs w:val="20"/>
              </w:rPr>
            </w:pPr>
            <w:r w:rsidRPr="00C57CD2">
              <w:rPr>
                <w:rFonts w:ascii="Verdana" w:hAnsi="Verdana"/>
                <w:sz w:val="20"/>
                <w:szCs w:val="20"/>
              </w:rPr>
              <w:t>Rewards excellence and innovation in teaching</w:t>
            </w:r>
          </w:p>
        </w:tc>
      </w:tr>
    </w:tbl>
    <w:p w:rsidR="009213B0" w:rsidRDefault="009213B0" w:rsidP="009213B0">
      <w:pPr>
        <w:pStyle w:val="NormalWeb"/>
        <w:shd w:val="clear" w:color="auto" w:fill="FFFFFF"/>
        <w:spacing w:before="0" w:beforeAutospacing="0" w:after="360" w:afterAutospacing="0"/>
        <w:jc w:val="both"/>
        <w:textAlignment w:val="baseline"/>
        <w:rPr>
          <w:rFonts w:ascii="Verdana" w:hAnsi="Verdana"/>
          <w:color w:val="000000" w:themeColor="text1"/>
          <w:sz w:val="20"/>
          <w:szCs w:val="20"/>
        </w:rPr>
      </w:pPr>
    </w:p>
    <w:p w:rsidR="007E65D4" w:rsidRDefault="005B5B73" w:rsidP="009213B0">
      <w:pPr>
        <w:pStyle w:val="NormalWeb"/>
        <w:shd w:val="clear" w:color="auto" w:fill="FFFFFF"/>
        <w:spacing w:before="0" w:beforeAutospacing="0" w:after="360" w:afterAutospacing="0" w:line="276" w:lineRule="auto"/>
        <w:jc w:val="both"/>
        <w:textAlignment w:val="baseline"/>
        <w:rPr>
          <w:rFonts w:ascii="Verdana" w:hAnsi="Verdana" w:cs="Arial"/>
          <w:color w:val="222222"/>
          <w:sz w:val="20"/>
          <w:szCs w:val="20"/>
          <w:shd w:val="clear" w:color="auto" w:fill="FFFFFF"/>
        </w:rPr>
      </w:pPr>
      <w:r>
        <w:rPr>
          <w:rFonts w:ascii="Verdana" w:hAnsi="Verdana"/>
          <w:color w:val="000000" w:themeColor="text1"/>
          <w:sz w:val="20"/>
          <w:szCs w:val="20"/>
        </w:rPr>
        <w:t>A notable</w:t>
      </w:r>
      <w:r w:rsidR="005B74BF">
        <w:rPr>
          <w:rFonts w:ascii="Verdana" w:hAnsi="Verdana"/>
          <w:color w:val="000000" w:themeColor="text1"/>
          <w:sz w:val="20"/>
          <w:szCs w:val="20"/>
        </w:rPr>
        <w:t xml:space="preserve"> aspect of the modern university </w:t>
      </w:r>
      <w:r>
        <w:rPr>
          <w:rFonts w:ascii="Verdana" w:hAnsi="Verdana"/>
          <w:color w:val="000000" w:themeColor="text1"/>
          <w:sz w:val="20"/>
          <w:szCs w:val="20"/>
        </w:rPr>
        <w:t xml:space="preserve">(and IoT) </w:t>
      </w:r>
      <w:r w:rsidR="005B74BF">
        <w:rPr>
          <w:rFonts w:ascii="Verdana" w:hAnsi="Verdana"/>
          <w:color w:val="000000" w:themeColor="text1"/>
          <w:sz w:val="20"/>
          <w:szCs w:val="20"/>
        </w:rPr>
        <w:t xml:space="preserve">environment is the </w:t>
      </w:r>
      <w:r w:rsidR="00E41AB5">
        <w:rPr>
          <w:rFonts w:ascii="Verdana" w:hAnsi="Verdana"/>
          <w:color w:val="000000" w:themeColor="text1"/>
          <w:sz w:val="20"/>
          <w:szCs w:val="20"/>
        </w:rPr>
        <w:t>number</w:t>
      </w:r>
      <w:r w:rsidR="005B74BF">
        <w:rPr>
          <w:rFonts w:ascii="Verdana" w:hAnsi="Verdana"/>
          <w:color w:val="000000" w:themeColor="text1"/>
          <w:sz w:val="20"/>
          <w:szCs w:val="20"/>
        </w:rPr>
        <w:t xml:space="preserve"> of staff whose area of research expertise lies in discipline-centred T&amp;L</w:t>
      </w:r>
      <w:r w:rsidR="00C91628">
        <w:rPr>
          <w:rFonts w:ascii="Verdana" w:hAnsi="Verdana"/>
          <w:color w:val="000000" w:themeColor="text1"/>
          <w:sz w:val="20"/>
          <w:szCs w:val="20"/>
        </w:rPr>
        <w:t xml:space="preserve"> rather than the discipline itself</w:t>
      </w:r>
      <w:r w:rsidR="005B74BF">
        <w:rPr>
          <w:rFonts w:ascii="Verdana" w:hAnsi="Verdana"/>
          <w:color w:val="000000" w:themeColor="text1"/>
          <w:sz w:val="20"/>
          <w:szCs w:val="20"/>
        </w:rPr>
        <w:t xml:space="preserve">. In DCU, </w:t>
      </w:r>
      <w:r w:rsidR="008010D2">
        <w:rPr>
          <w:rFonts w:ascii="Verdana" w:hAnsi="Verdana"/>
          <w:color w:val="000000" w:themeColor="text1"/>
          <w:sz w:val="20"/>
          <w:szCs w:val="20"/>
        </w:rPr>
        <w:t>to name just two</w:t>
      </w:r>
      <w:r w:rsidR="005B74BF">
        <w:rPr>
          <w:rFonts w:ascii="Verdana" w:hAnsi="Verdana"/>
          <w:color w:val="000000" w:themeColor="text1"/>
          <w:sz w:val="20"/>
          <w:szCs w:val="20"/>
        </w:rPr>
        <w:t xml:space="preserve"> example</w:t>
      </w:r>
      <w:r w:rsidR="008010D2">
        <w:rPr>
          <w:rFonts w:ascii="Verdana" w:hAnsi="Verdana"/>
          <w:color w:val="000000" w:themeColor="text1"/>
          <w:sz w:val="20"/>
          <w:szCs w:val="20"/>
        </w:rPr>
        <w:t>s</w:t>
      </w:r>
      <w:r w:rsidR="005B74BF">
        <w:rPr>
          <w:rFonts w:ascii="Verdana" w:hAnsi="Verdana"/>
          <w:color w:val="000000" w:themeColor="text1"/>
          <w:sz w:val="20"/>
          <w:szCs w:val="20"/>
        </w:rPr>
        <w:t xml:space="preserve">, we have </w:t>
      </w:r>
      <w:proofErr w:type="spellStart"/>
      <w:r w:rsidR="005B74BF" w:rsidRPr="005B74BF">
        <w:rPr>
          <w:rFonts w:ascii="Verdana" w:hAnsi="Verdana"/>
          <w:b/>
          <w:color w:val="000000" w:themeColor="text1"/>
          <w:sz w:val="20"/>
          <w:szCs w:val="20"/>
        </w:rPr>
        <w:t>CASTeL</w:t>
      </w:r>
      <w:proofErr w:type="spellEnd"/>
      <w:r w:rsidR="005B74BF">
        <w:rPr>
          <w:rFonts w:ascii="Verdana" w:hAnsi="Verdana"/>
          <w:color w:val="000000" w:themeColor="text1"/>
          <w:sz w:val="20"/>
          <w:szCs w:val="20"/>
        </w:rPr>
        <w:t xml:space="preserve">, the </w:t>
      </w:r>
      <w:r w:rsidR="005B74BF" w:rsidRPr="005B74BF">
        <w:rPr>
          <w:rFonts w:ascii="Verdana" w:hAnsi="Verdana"/>
          <w:color w:val="000000" w:themeColor="text1"/>
          <w:sz w:val="20"/>
          <w:szCs w:val="20"/>
        </w:rPr>
        <w:t>Centre for the Advancement of Science and Mat</w:t>
      </w:r>
      <w:r w:rsidR="005B74BF">
        <w:rPr>
          <w:rFonts w:ascii="Verdana" w:hAnsi="Verdana"/>
          <w:color w:val="000000" w:themeColor="text1"/>
          <w:sz w:val="20"/>
          <w:szCs w:val="20"/>
        </w:rPr>
        <w:t xml:space="preserve">hematics Teaching and Learning, and the </w:t>
      </w:r>
      <w:r w:rsidR="005B74BF" w:rsidRPr="005B74BF">
        <w:rPr>
          <w:rFonts w:ascii="Verdana" w:hAnsi="Verdana"/>
          <w:b/>
          <w:color w:val="000000" w:themeColor="text1"/>
          <w:sz w:val="20"/>
          <w:szCs w:val="20"/>
        </w:rPr>
        <w:t>SAILS</w:t>
      </w:r>
      <w:r w:rsidR="005B74BF">
        <w:rPr>
          <w:rFonts w:ascii="Verdana" w:hAnsi="Verdana"/>
          <w:color w:val="000000" w:themeColor="text1"/>
          <w:sz w:val="20"/>
          <w:szCs w:val="20"/>
        </w:rPr>
        <w:t xml:space="preserve"> project (Strategies </w:t>
      </w:r>
      <w:r w:rsidR="00EA2E69">
        <w:rPr>
          <w:rFonts w:ascii="Verdana" w:hAnsi="Verdana"/>
          <w:color w:val="000000" w:themeColor="text1"/>
          <w:sz w:val="20"/>
          <w:szCs w:val="20"/>
        </w:rPr>
        <w:t>for</w:t>
      </w:r>
      <w:r w:rsidR="005B74BF">
        <w:rPr>
          <w:rFonts w:ascii="Verdana" w:hAnsi="Verdana"/>
          <w:color w:val="000000" w:themeColor="text1"/>
          <w:sz w:val="20"/>
          <w:szCs w:val="20"/>
        </w:rPr>
        <w:t xml:space="preserve"> Assessment of Inqu</w:t>
      </w:r>
      <w:r w:rsidR="008010D2">
        <w:rPr>
          <w:rFonts w:ascii="Verdana" w:hAnsi="Verdana"/>
          <w:color w:val="000000" w:themeColor="text1"/>
          <w:sz w:val="20"/>
          <w:szCs w:val="20"/>
        </w:rPr>
        <w:t>iry Learning in Science), an EU-</w:t>
      </w:r>
      <w:r w:rsidR="005B74BF">
        <w:rPr>
          <w:rFonts w:ascii="Verdana" w:hAnsi="Verdana"/>
          <w:color w:val="000000" w:themeColor="text1"/>
          <w:sz w:val="20"/>
          <w:szCs w:val="20"/>
        </w:rPr>
        <w:t xml:space="preserve">funded project led by DCU. In the </w:t>
      </w:r>
      <w:r w:rsidR="00EA2E69">
        <w:rPr>
          <w:rFonts w:ascii="Verdana" w:hAnsi="Verdana"/>
          <w:color w:val="000000" w:themeColor="text1"/>
          <w:sz w:val="20"/>
          <w:szCs w:val="20"/>
        </w:rPr>
        <w:t>F</w:t>
      </w:r>
      <w:r w:rsidR="005B74BF">
        <w:rPr>
          <w:rFonts w:ascii="Verdana" w:hAnsi="Verdana"/>
          <w:color w:val="000000" w:themeColor="text1"/>
          <w:sz w:val="20"/>
          <w:szCs w:val="20"/>
        </w:rPr>
        <w:t xml:space="preserve">aculty of </w:t>
      </w:r>
      <w:r w:rsidR="00EA2E69">
        <w:rPr>
          <w:rFonts w:ascii="Verdana" w:hAnsi="Verdana"/>
          <w:color w:val="000000" w:themeColor="text1"/>
          <w:sz w:val="20"/>
          <w:szCs w:val="20"/>
        </w:rPr>
        <w:t>S</w:t>
      </w:r>
      <w:r w:rsidR="005B74BF">
        <w:rPr>
          <w:rFonts w:ascii="Verdana" w:hAnsi="Verdana"/>
          <w:color w:val="000000" w:themeColor="text1"/>
          <w:sz w:val="20"/>
          <w:szCs w:val="20"/>
        </w:rPr>
        <w:t xml:space="preserve">cience and </w:t>
      </w:r>
      <w:r w:rsidR="00EA2E69">
        <w:rPr>
          <w:rFonts w:ascii="Verdana" w:hAnsi="Verdana"/>
          <w:color w:val="000000" w:themeColor="text1"/>
          <w:sz w:val="20"/>
          <w:szCs w:val="20"/>
        </w:rPr>
        <w:t>H</w:t>
      </w:r>
      <w:r w:rsidR="005B74BF">
        <w:rPr>
          <w:rFonts w:ascii="Verdana" w:hAnsi="Verdana"/>
          <w:color w:val="000000" w:themeColor="text1"/>
          <w:sz w:val="20"/>
          <w:szCs w:val="20"/>
        </w:rPr>
        <w:t>ealth</w:t>
      </w:r>
      <w:r w:rsidR="00EA2E69">
        <w:rPr>
          <w:rFonts w:ascii="Verdana" w:hAnsi="Verdana"/>
          <w:color w:val="000000" w:themeColor="text1"/>
          <w:sz w:val="20"/>
          <w:szCs w:val="20"/>
        </w:rPr>
        <w:t xml:space="preserve">, there are many individual </w:t>
      </w:r>
      <w:r w:rsidR="00224388">
        <w:rPr>
          <w:rFonts w:ascii="Verdana" w:hAnsi="Verdana"/>
          <w:color w:val="000000" w:themeColor="text1"/>
          <w:sz w:val="20"/>
          <w:szCs w:val="20"/>
        </w:rPr>
        <w:t>lecturers</w:t>
      </w:r>
      <w:r w:rsidR="00EA2E69">
        <w:rPr>
          <w:rFonts w:ascii="Verdana" w:hAnsi="Verdana"/>
          <w:color w:val="000000" w:themeColor="text1"/>
          <w:sz w:val="20"/>
          <w:szCs w:val="20"/>
        </w:rPr>
        <w:t xml:space="preserve"> </w:t>
      </w:r>
      <w:r w:rsidR="009B7813">
        <w:rPr>
          <w:rFonts w:ascii="Verdana" w:hAnsi="Verdana"/>
          <w:color w:val="000000" w:themeColor="text1"/>
          <w:sz w:val="20"/>
          <w:szCs w:val="20"/>
        </w:rPr>
        <w:t xml:space="preserve">in all </w:t>
      </w:r>
      <w:r w:rsidR="00FC167C">
        <w:rPr>
          <w:rFonts w:ascii="Verdana" w:hAnsi="Verdana"/>
          <w:color w:val="000000" w:themeColor="text1"/>
          <w:sz w:val="20"/>
          <w:szCs w:val="20"/>
        </w:rPr>
        <w:t xml:space="preserve">of </w:t>
      </w:r>
      <w:r w:rsidR="009B7813">
        <w:rPr>
          <w:rFonts w:ascii="Verdana" w:hAnsi="Verdana"/>
          <w:color w:val="000000" w:themeColor="text1"/>
          <w:sz w:val="20"/>
          <w:szCs w:val="20"/>
        </w:rPr>
        <w:t xml:space="preserve">our constituent schools, from the </w:t>
      </w:r>
      <w:r w:rsidR="00FC167C">
        <w:rPr>
          <w:rFonts w:ascii="Verdana" w:hAnsi="Verdana"/>
          <w:color w:val="000000" w:themeColor="text1"/>
          <w:sz w:val="20"/>
          <w:szCs w:val="20"/>
        </w:rPr>
        <w:t>S</w:t>
      </w:r>
      <w:r w:rsidR="009B7813">
        <w:rPr>
          <w:rFonts w:ascii="Verdana" w:hAnsi="Verdana"/>
          <w:color w:val="000000" w:themeColor="text1"/>
          <w:sz w:val="20"/>
          <w:szCs w:val="20"/>
        </w:rPr>
        <w:t xml:space="preserve">ciences to Mathematics to Nursing </w:t>
      </w:r>
      <w:r w:rsidR="00FC167C">
        <w:rPr>
          <w:rFonts w:ascii="Verdana" w:hAnsi="Verdana"/>
          <w:color w:val="000000" w:themeColor="text1"/>
          <w:sz w:val="20"/>
          <w:szCs w:val="20"/>
        </w:rPr>
        <w:t>to</w:t>
      </w:r>
      <w:r w:rsidR="009B7813">
        <w:rPr>
          <w:rFonts w:ascii="Verdana" w:hAnsi="Verdana"/>
          <w:color w:val="000000" w:themeColor="text1"/>
          <w:sz w:val="20"/>
          <w:szCs w:val="20"/>
        </w:rPr>
        <w:t xml:space="preserve"> Health and Human Performance, who </w:t>
      </w:r>
      <w:r w:rsidR="00EA2E69">
        <w:rPr>
          <w:rFonts w:ascii="Verdana" w:hAnsi="Verdana"/>
          <w:color w:val="000000" w:themeColor="text1"/>
          <w:sz w:val="20"/>
          <w:szCs w:val="20"/>
        </w:rPr>
        <w:t>investigat</w:t>
      </w:r>
      <w:r w:rsidR="009B7813">
        <w:rPr>
          <w:rFonts w:ascii="Verdana" w:hAnsi="Verdana"/>
          <w:color w:val="000000" w:themeColor="text1"/>
          <w:sz w:val="20"/>
          <w:szCs w:val="20"/>
        </w:rPr>
        <w:t>e</w:t>
      </w:r>
      <w:r w:rsidR="00EA2E69">
        <w:rPr>
          <w:rFonts w:ascii="Verdana" w:hAnsi="Verdana"/>
          <w:color w:val="000000" w:themeColor="text1"/>
          <w:sz w:val="20"/>
          <w:szCs w:val="20"/>
        </w:rPr>
        <w:t xml:space="preserve"> </w:t>
      </w:r>
      <w:r w:rsidR="002D6A0E">
        <w:rPr>
          <w:rFonts w:ascii="Verdana" w:hAnsi="Verdana"/>
          <w:color w:val="000000" w:themeColor="text1"/>
          <w:sz w:val="20"/>
          <w:szCs w:val="20"/>
        </w:rPr>
        <w:t>a variety</w:t>
      </w:r>
      <w:r w:rsidR="00EA2E69">
        <w:rPr>
          <w:rFonts w:ascii="Verdana" w:hAnsi="Verdana"/>
          <w:color w:val="000000" w:themeColor="text1"/>
          <w:sz w:val="20"/>
          <w:szCs w:val="20"/>
        </w:rPr>
        <w:t xml:space="preserve"> of in</w:t>
      </w:r>
      <w:r w:rsidR="002D6A0E">
        <w:rPr>
          <w:rFonts w:ascii="Verdana" w:hAnsi="Verdana"/>
          <w:color w:val="000000" w:themeColor="text1"/>
          <w:sz w:val="20"/>
          <w:szCs w:val="20"/>
        </w:rPr>
        <w:t>novative approaches to teaching. These</w:t>
      </w:r>
      <w:r w:rsidR="00EA2E69">
        <w:rPr>
          <w:rFonts w:ascii="Verdana" w:hAnsi="Verdana"/>
          <w:color w:val="000000" w:themeColor="text1"/>
          <w:sz w:val="20"/>
          <w:szCs w:val="20"/>
        </w:rPr>
        <w:t xml:space="preserve"> includ</w:t>
      </w:r>
      <w:r w:rsidR="002D6A0E">
        <w:rPr>
          <w:rFonts w:ascii="Verdana" w:hAnsi="Verdana"/>
          <w:color w:val="000000" w:themeColor="text1"/>
          <w:sz w:val="20"/>
          <w:szCs w:val="20"/>
        </w:rPr>
        <w:t>e</w:t>
      </w:r>
      <w:r w:rsidR="00EA2E69">
        <w:rPr>
          <w:rFonts w:ascii="Verdana" w:hAnsi="Verdana"/>
          <w:color w:val="000000" w:themeColor="text1"/>
          <w:sz w:val="20"/>
          <w:szCs w:val="20"/>
        </w:rPr>
        <w:t xml:space="preserve"> inquiry based learning, peer assessment, collaborative writing, digital learning etc. Support </w:t>
      </w:r>
      <w:r w:rsidR="00EA2E69">
        <w:rPr>
          <w:rFonts w:ascii="Verdana" w:hAnsi="Verdana"/>
          <w:color w:val="000000" w:themeColor="text1"/>
          <w:sz w:val="20"/>
          <w:szCs w:val="20"/>
        </w:rPr>
        <w:lastRenderedPageBreak/>
        <w:t xml:space="preserve">is provided </w:t>
      </w:r>
      <w:r w:rsidR="00224388">
        <w:rPr>
          <w:rFonts w:ascii="Verdana" w:hAnsi="Verdana"/>
          <w:color w:val="000000" w:themeColor="text1"/>
          <w:sz w:val="20"/>
          <w:szCs w:val="20"/>
        </w:rPr>
        <w:t>t</w:t>
      </w:r>
      <w:r w:rsidR="002D6A0E">
        <w:rPr>
          <w:rFonts w:ascii="Verdana" w:hAnsi="Verdana"/>
          <w:color w:val="000000" w:themeColor="text1"/>
          <w:sz w:val="20"/>
          <w:szCs w:val="20"/>
        </w:rPr>
        <w:t xml:space="preserve">o all staff </w:t>
      </w:r>
      <w:r w:rsidR="00EA2E69">
        <w:rPr>
          <w:rFonts w:ascii="Verdana" w:hAnsi="Verdana"/>
          <w:color w:val="000000" w:themeColor="text1"/>
          <w:sz w:val="20"/>
          <w:szCs w:val="20"/>
        </w:rPr>
        <w:t xml:space="preserve">by the </w:t>
      </w:r>
      <w:r w:rsidR="00EA2E69" w:rsidRPr="00B537AD">
        <w:rPr>
          <w:rFonts w:ascii="Verdana" w:hAnsi="Verdana"/>
          <w:i/>
          <w:color w:val="000000" w:themeColor="text1"/>
          <w:sz w:val="20"/>
          <w:szCs w:val="20"/>
        </w:rPr>
        <w:t>Teaching Enhancement Uni</w:t>
      </w:r>
      <w:r w:rsidR="00EA2E69">
        <w:rPr>
          <w:rFonts w:ascii="Verdana" w:hAnsi="Verdana"/>
          <w:color w:val="000000" w:themeColor="text1"/>
          <w:sz w:val="20"/>
          <w:szCs w:val="20"/>
        </w:rPr>
        <w:t xml:space="preserve">t and the </w:t>
      </w:r>
      <w:r w:rsidR="00EA2E69" w:rsidRPr="00B537AD">
        <w:rPr>
          <w:rFonts w:ascii="Verdana" w:hAnsi="Verdana"/>
          <w:i/>
          <w:color w:val="000000" w:themeColor="text1"/>
          <w:sz w:val="20"/>
          <w:szCs w:val="20"/>
        </w:rPr>
        <w:t>National Institute for Digital Learning</w:t>
      </w:r>
      <w:r w:rsidR="00EA2E69">
        <w:rPr>
          <w:rFonts w:ascii="Verdana" w:hAnsi="Verdana"/>
          <w:color w:val="000000" w:themeColor="text1"/>
          <w:sz w:val="20"/>
          <w:szCs w:val="20"/>
        </w:rPr>
        <w:t xml:space="preserve">. </w:t>
      </w:r>
      <w:r w:rsidR="00C91628">
        <w:rPr>
          <w:rFonts w:ascii="Verdana" w:hAnsi="Verdana"/>
          <w:color w:val="000000" w:themeColor="text1"/>
          <w:sz w:val="20"/>
          <w:szCs w:val="20"/>
        </w:rPr>
        <w:t>T</w:t>
      </w:r>
      <w:r w:rsidR="00EA2E69">
        <w:rPr>
          <w:rFonts w:ascii="Verdana" w:hAnsi="Verdana"/>
          <w:color w:val="000000" w:themeColor="text1"/>
          <w:sz w:val="20"/>
          <w:szCs w:val="20"/>
        </w:rPr>
        <w:t>he Teaching Enhancement Unit</w:t>
      </w:r>
      <w:r w:rsidR="00224388">
        <w:rPr>
          <w:rFonts w:ascii="Verdana" w:hAnsi="Verdana"/>
          <w:color w:val="000000" w:themeColor="text1"/>
          <w:sz w:val="20"/>
          <w:szCs w:val="20"/>
        </w:rPr>
        <w:t xml:space="preserve"> </w:t>
      </w:r>
      <w:r w:rsidR="00FD510E">
        <w:rPr>
          <w:rFonts w:ascii="Verdana" w:hAnsi="Verdana" w:cs="Arial"/>
          <w:color w:val="222222"/>
          <w:sz w:val="20"/>
          <w:szCs w:val="20"/>
          <w:shd w:val="clear" w:color="auto" w:fill="FFFFFF"/>
        </w:rPr>
        <w:t xml:space="preserve">runs </w:t>
      </w:r>
      <w:r w:rsidR="00CE6FDE">
        <w:rPr>
          <w:rFonts w:ascii="Verdana" w:hAnsi="Verdana" w:cs="Arial"/>
          <w:color w:val="222222"/>
          <w:sz w:val="20"/>
          <w:szCs w:val="20"/>
          <w:shd w:val="clear" w:color="auto" w:fill="FFFFFF"/>
        </w:rPr>
        <w:t>a wide range of workshop</w:t>
      </w:r>
      <w:r w:rsidR="00C91628">
        <w:rPr>
          <w:rFonts w:ascii="Verdana" w:hAnsi="Verdana" w:cs="Arial"/>
          <w:color w:val="222222"/>
          <w:sz w:val="20"/>
          <w:szCs w:val="20"/>
          <w:shd w:val="clear" w:color="auto" w:fill="FFFFFF"/>
        </w:rPr>
        <w:t>s</w:t>
      </w:r>
      <w:r w:rsidR="00CE6FDE">
        <w:rPr>
          <w:rFonts w:ascii="Verdana" w:hAnsi="Verdana" w:cs="Arial"/>
          <w:color w:val="222222"/>
          <w:sz w:val="20"/>
          <w:szCs w:val="20"/>
          <w:shd w:val="clear" w:color="auto" w:fill="FFFFFF"/>
        </w:rPr>
        <w:t xml:space="preserve"> and online courses that all academic staff </w:t>
      </w:r>
      <w:r w:rsidR="00FC167C">
        <w:rPr>
          <w:rFonts w:ascii="Verdana" w:hAnsi="Verdana" w:cs="Arial"/>
          <w:color w:val="222222"/>
          <w:sz w:val="20"/>
          <w:szCs w:val="20"/>
          <w:shd w:val="clear" w:color="auto" w:fill="FFFFFF"/>
        </w:rPr>
        <w:t>can</w:t>
      </w:r>
      <w:r w:rsidR="00CE6FDE">
        <w:rPr>
          <w:rFonts w:ascii="Verdana" w:hAnsi="Verdana" w:cs="Arial"/>
          <w:color w:val="222222"/>
          <w:sz w:val="20"/>
          <w:szCs w:val="20"/>
          <w:shd w:val="clear" w:color="auto" w:fill="FFFFFF"/>
        </w:rPr>
        <w:t xml:space="preserve"> attend.</w:t>
      </w:r>
      <w:r w:rsidR="005D07BA">
        <w:rPr>
          <w:rFonts w:ascii="Verdana" w:hAnsi="Verdana" w:cs="Arial"/>
          <w:color w:val="222222"/>
          <w:sz w:val="20"/>
          <w:szCs w:val="20"/>
          <w:shd w:val="clear" w:color="auto" w:fill="FFFFFF"/>
        </w:rPr>
        <w:t xml:space="preserve"> </w:t>
      </w:r>
      <w:r w:rsidR="009B7813">
        <w:rPr>
          <w:rFonts w:ascii="Verdana" w:hAnsi="Verdana" w:cs="Arial"/>
          <w:color w:val="222222"/>
          <w:sz w:val="20"/>
          <w:szCs w:val="20"/>
          <w:shd w:val="clear" w:color="auto" w:fill="FFFFFF"/>
        </w:rPr>
        <w:t xml:space="preserve">It is also worth noting that </w:t>
      </w:r>
      <w:r w:rsidR="005D07BA">
        <w:rPr>
          <w:rFonts w:ascii="Verdana" w:hAnsi="Verdana" w:cs="Arial"/>
          <w:color w:val="222222"/>
          <w:sz w:val="20"/>
          <w:szCs w:val="20"/>
          <w:shd w:val="clear" w:color="auto" w:fill="FFFFFF"/>
        </w:rPr>
        <w:t>St. Patrick’</w:t>
      </w:r>
      <w:r w:rsidR="009B7813">
        <w:rPr>
          <w:rFonts w:ascii="Verdana" w:hAnsi="Verdana" w:cs="Arial"/>
          <w:color w:val="222222"/>
          <w:sz w:val="20"/>
          <w:szCs w:val="20"/>
          <w:shd w:val="clear" w:color="auto" w:fill="FFFFFF"/>
        </w:rPr>
        <w:t>s College</w:t>
      </w:r>
      <w:r w:rsidR="005D07BA">
        <w:rPr>
          <w:rFonts w:ascii="Verdana" w:hAnsi="Verdana" w:cs="Arial"/>
          <w:color w:val="222222"/>
          <w:sz w:val="20"/>
          <w:szCs w:val="20"/>
          <w:shd w:val="clear" w:color="auto" w:fill="FFFFFF"/>
        </w:rPr>
        <w:t xml:space="preserve"> Drumcondra will soon be </w:t>
      </w:r>
      <w:r w:rsidR="009B7813">
        <w:rPr>
          <w:rFonts w:ascii="Verdana" w:hAnsi="Verdana" w:cs="Arial"/>
          <w:color w:val="222222"/>
          <w:sz w:val="20"/>
          <w:szCs w:val="20"/>
          <w:shd w:val="clear" w:color="auto" w:fill="FFFFFF"/>
        </w:rPr>
        <w:t xml:space="preserve">fully </w:t>
      </w:r>
      <w:r w:rsidR="005D07BA">
        <w:rPr>
          <w:rFonts w:ascii="Verdana" w:hAnsi="Verdana" w:cs="Arial"/>
          <w:color w:val="222222"/>
          <w:sz w:val="20"/>
          <w:szCs w:val="20"/>
          <w:shd w:val="clear" w:color="auto" w:fill="FFFFFF"/>
        </w:rPr>
        <w:t>incorporated into DCU</w:t>
      </w:r>
      <w:r w:rsidR="009B7813">
        <w:rPr>
          <w:rFonts w:ascii="Verdana" w:hAnsi="Verdana" w:cs="Arial"/>
          <w:color w:val="222222"/>
          <w:sz w:val="20"/>
          <w:szCs w:val="20"/>
          <w:shd w:val="clear" w:color="auto" w:fill="FFFFFF"/>
        </w:rPr>
        <w:t>,</w:t>
      </w:r>
      <w:r w:rsidR="005D07BA">
        <w:rPr>
          <w:rFonts w:ascii="Verdana" w:hAnsi="Verdana" w:cs="Arial"/>
          <w:color w:val="222222"/>
          <w:sz w:val="20"/>
          <w:szCs w:val="20"/>
          <w:shd w:val="clear" w:color="auto" w:fill="FFFFFF"/>
        </w:rPr>
        <w:t xml:space="preserve"> leading to the </w:t>
      </w:r>
      <w:r w:rsidR="00FC167C">
        <w:rPr>
          <w:rFonts w:ascii="Verdana" w:hAnsi="Verdana" w:cs="Arial"/>
          <w:color w:val="222222"/>
          <w:sz w:val="20"/>
          <w:szCs w:val="20"/>
          <w:shd w:val="clear" w:color="auto" w:fill="FFFFFF"/>
        </w:rPr>
        <w:t>creation</w:t>
      </w:r>
      <w:r w:rsidR="005D07BA">
        <w:rPr>
          <w:rFonts w:ascii="Verdana" w:hAnsi="Verdana" w:cs="Arial"/>
          <w:color w:val="222222"/>
          <w:sz w:val="20"/>
          <w:szCs w:val="20"/>
          <w:shd w:val="clear" w:color="auto" w:fill="FFFFFF"/>
        </w:rPr>
        <w:t xml:space="preserve"> of a fifth faculty, the Institute of Education</w:t>
      </w:r>
      <w:r w:rsidR="004A7C57">
        <w:rPr>
          <w:rFonts w:ascii="Verdana" w:hAnsi="Verdana" w:cs="Arial"/>
          <w:color w:val="222222"/>
          <w:sz w:val="20"/>
          <w:szCs w:val="20"/>
          <w:shd w:val="clear" w:color="auto" w:fill="FFFFFF"/>
        </w:rPr>
        <w:t>.</w:t>
      </w:r>
    </w:p>
    <w:p w:rsidR="00C91628" w:rsidRPr="00777D16" w:rsidRDefault="00C91628" w:rsidP="002D6A0E">
      <w:pPr>
        <w:pStyle w:val="Heading4"/>
        <w:numPr>
          <w:ilvl w:val="0"/>
          <w:numId w:val="2"/>
        </w:numPr>
        <w:ind w:left="360"/>
        <w:rPr>
          <w:shd w:val="clear" w:color="auto" w:fill="FFFFFF"/>
        </w:rPr>
      </w:pPr>
      <w:r w:rsidRPr="00777D16">
        <w:rPr>
          <w:shd w:val="clear" w:color="auto" w:fill="FFFFFF"/>
        </w:rPr>
        <w:t>Why is there a perception that teaching is neglected</w:t>
      </w:r>
      <w:r w:rsidR="00542A6E" w:rsidRPr="00777D16">
        <w:rPr>
          <w:shd w:val="clear" w:color="auto" w:fill="FFFFFF"/>
        </w:rPr>
        <w:t xml:space="preserve"> at third level?</w:t>
      </w:r>
    </w:p>
    <w:p w:rsidR="007E65D4" w:rsidRDefault="00C91628" w:rsidP="009213B0">
      <w:pPr>
        <w:pStyle w:val="NormalWeb"/>
        <w:shd w:val="clear" w:color="auto" w:fill="FFFFFF"/>
        <w:spacing w:before="0" w:beforeAutospacing="0" w:after="360" w:afterAutospacing="0" w:line="276" w:lineRule="auto"/>
        <w:jc w:val="both"/>
        <w:textAlignment w:val="baseline"/>
        <w:rPr>
          <w:rFonts w:ascii="Verdana" w:hAnsi="Verdana"/>
          <w:color w:val="000000" w:themeColor="text1"/>
          <w:sz w:val="20"/>
          <w:szCs w:val="20"/>
        </w:rPr>
      </w:pPr>
      <w:r>
        <w:rPr>
          <w:rFonts w:ascii="Verdana" w:hAnsi="Verdana"/>
          <w:color w:val="000000" w:themeColor="text1"/>
          <w:sz w:val="20"/>
          <w:szCs w:val="20"/>
        </w:rPr>
        <w:t>There are three key reasons. The first is that anecdotes about poor teaching are ver</w:t>
      </w:r>
      <w:r w:rsidR="00224388">
        <w:rPr>
          <w:rFonts w:ascii="Verdana" w:hAnsi="Verdana"/>
          <w:color w:val="000000" w:themeColor="text1"/>
          <w:sz w:val="20"/>
          <w:szCs w:val="20"/>
        </w:rPr>
        <w:t>y powerful.</w:t>
      </w:r>
      <w:r w:rsidR="00BE0578">
        <w:rPr>
          <w:rStyle w:val="FootnoteReference"/>
          <w:rFonts w:ascii="Verdana" w:hAnsi="Verdana"/>
          <w:color w:val="000000" w:themeColor="text1"/>
          <w:sz w:val="20"/>
          <w:szCs w:val="20"/>
        </w:rPr>
        <w:footnoteReference w:id="2"/>
      </w:r>
      <w:r w:rsidR="00224388">
        <w:rPr>
          <w:rFonts w:ascii="Verdana" w:hAnsi="Verdana"/>
          <w:color w:val="000000" w:themeColor="text1"/>
          <w:sz w:val="20"/>
          <w:szCs w:val="20"/>
        </w:rPr>
        <w:t xml:space="preserve"> T</w:t>
      </w:r>
      <w:r w:rsidR="002D6A0E">
        <w:rPr>
          <w:rFonts w:ascii="Verdana" w:hAnsi="Verdana"/>
          <w:color w:val="000000" w:themeColor="text1"/>
          <w:sz w:val="20"/>
          <w:szCs w:val="20"/>
        </w:rPr>
        <w:t>he worst lecturers,</w:t>
      </w:r>
      <w:r>
        <w:rPr>
          <w:rFonts w:ascii="Verdana" w:hAnsi="Verdana"/>
          <w:color w:val="000000" w:themeColor="text1"/>
          <w:sz w:val="20"/>
          <w:szCs w:val="20"/>
        </w:rPr>
        <w:t xml:space="preserve"> who are often, </w:t>
      </w:r>
      <w:r w:rsidR="002D6A0E">
        <w:rPr>
          <w:rFonts w:ascii="Verdana" w:hAnsi="Verdana"/>
          <w:color w:val="000000" w:themeColor="text1"/>
          <w:sz w:val="20"/>
          <w:szCs w:val="20"/>
        </w:rPr>
        <w:t xml:space="preserve">somewhat </w:t>
      </w:r>
      <w:r>
        <w:rPr>
          <w:rFonts w:ascii="Verdana" w:hAnsi="Verdana"/>
          <w:color w:val="000000" w:themeColor="text1"/>
          <w:sz w:val="20"/>
          <w:szCs w:val="20"/>
        </w:rPr>
        <w:t xml:space="preserve">paradoxically, the most memorable, are perceived as being typical of the sector. The second reason is that many observers </w:t>
      </w:r>
      <w:r w:rsidR="00777D16">
        <w:rPr>
          <w:rFonts w:ascii="Verdana" w:hAnsi="Verdana"/>
          <w:color w:val="000000" w:themeColor="text1"/>
          <w:sz w:val="20"/>
          <w:szCs w:val="20"/>
        </w:rPr>
        <w:t xml:space="preserve">and commentators </w:t>
      </w:r>
      <w:r>
        <w:rPr>
          <w:rFonts w:ascii="Verdana" w:hAnsi="Verdana"/>
          <w:color w:val="000000" w:themeColor="text1"/>
          <w:sz w:val="20"/>
          <w:szCs w:val="20"/>
        </w:rPr>
        <w:t xml:space="preserve">presume that third level ‘teaching’ </w:t>
      </w:r>
      <w:r w:rsidR="002834A6">
        <w:rPr>
          <w:rFonts w:ascii="Verdana" w:hAnsi="Verdana"/>
          <w:color w:val="000000" w:themeColor="text1"/>
          <w:sz w:val="20"/>
          <w:szCs w:val="20"/>
        </w:rPr>
        <w:t xml:space="preserve">should have many of the </w:t>
      </w:r>
      <w:r w:rsidR="004A7C57">
        <w:rPr>
          <w:rFonts w:ascii="Verdana" w:hAnsi="Verdana"/>
          <w:color w:val="000000" w:themeColor="text1"/>
          <w:sz w:val="20"/>
          <w:szCs w:val="20"/>
        </w:rPr>
        <w:t xml:space="preserve">same </w:t>
      </w:r>
      <w:r w:rsidR="002834A6">
        <w:rPr>
          <w:rFonts w:ascii="Verdana" w:hAnsi="Verdana"/>
          <w:color w:val="000000" w:themeColor="text1"/>
          <w:sz w:val="20"/>
          <w:szCs w:val="20"/>
        </w:rPr>
        <w:t xml:space="preserve">attributes </w:t>
      </w:r>
      <w:r w:rsidR="004A7C57">
        <w:rPr>
          <w:rFonts w:ascii="Verdana" w:hAnsi="Verdana"/>
          <w:color w:val="000000" w:themeColor="text1"/>
          <w:sz w:val="20"/>
          <w:szCs w:val="20"/>
        </w:rPr>
        <w:t>as</w:t>
      </w:r>
      <w:r w:rsidR="002834A6">
        <w:rPr>
          <w:rFonts w:ascii="Verdana" w:hAnsi="Verdana"/>
          <w:color w:val="000000" w:themeColor="text1"/>
          <w:sz w:val="20"/>
          <w:szCs w:val="20"/>
        </w:rPr>
        <w:t xml:space="preserve"> second level teaching. In fact</w:t>
      </w:r>
      <w:r w:rsidR="00E16AA2">
        <w:rPr>
          <w:rFonts w:ascii="Verdana" w:hAnsi="Verdana"/>
          <w:color w:val="000000" w:themeColor="text1"/>
          <w:sz w:val="20"/>
          <w:szCs w:val="20"/>
        </w:rPr>
        <w:t>, and as mentioned above,</w:t>
      </w:r>
      <w:r w:rsidR="002834A6">
        <w:rPr>
          <w:rFonts w:ascii="Verdana" w:hAnsi="Verdana"/>
          <w:color w:val="000000" w:themeColor="text1"/>
          <w:sz w:val="20"/>
          <w:szCs w:val="20"/>
        </w:rPr>
        <w:t xml:space="preserve"> </w:t>
      </w:r>
      <w:r w:rsidR="009213B0">
        <w:rPr>
          <w:rFonts w:ascii="Verdana" w:hAnsi="Verdana"/>
          <w:color w:val="000000" w:themeColor="text1"/>
          <w:sz w:val="20"/>
          <w:szCs w:val="20"/>
        </w:rPr>
        <w:t xml:space="preserve">the use of the word ‘teaching’ is problematic in a third level context </w:t>
      </w:r>
      <w:r w:rsidR="002834A6">
        <w:rPr>
          <w:rFonts w:ascii="Verdana" w:hAnsi="Verdana"/>
          <w:color w:val="000000" w:themeColor="text1"/>
          <w:sz w:val="20"/>
          <w:szCs w:val="20"/>
        </w:rPr>
        <w:t>because there</w:t>
      </w:r>
      <w:r w:rsidR="007E65D4">
        <w:rPr>
          <w:rFonts w:ascii="Verdana" w:hAnsi="Verdana"/>
          <w:color w:val="000000" w:themeColor="text1"/>
          <w:sz w:val="20"/>
          <w:szCs w:val="20"/>
        </w:rPr>
        <w:t xml:space="preserve"> is a real danger </w:t>
      </w:r>
      <w:r w:rsidR="002834A6">
        <w:rPr>
          <w:rFonts w:ascii="Verdana" w:hAnsi="Verdana"/>
          <w:color w:val="000000" w:themeColor="text1"/>
          <w:sz w:val="20"/>
          <w:szCs w:val="20"/>
        </w:rPr>
        <w:t xml:space="preserve">that </w:t>
      </w:r>
      <w:r w:rsidR="007E65D4">
        <w:rPr>
          <w:rFonts w:ascii="Verdana" w:hAnsi="Verdana"/>
          <w:color w:val="000000" w:themeColor="text1"/>
          <w:sz w:val="20"/>
          <w:szCs w:val="20"/>
        </w:rPr>
        <w:t>by adopting methods that are employed at second level we will create a dependency culture amongst our students</w:t>
      </w:r>
      <w:r w:rsidR="004A7C57">
        <w:rPr>
          <w:rFonts w:ascii="Verdana" w:hAnsi="Verdana"/>
          <w:color w:val="000000" w:themeColor="text1"/>
          <w:sz w:val="20"/>
          <w:szCs w:val="20"/>
        </w:rPr>
        <w:t xml:space="preserve"> and ill-</w:t>
      </w:r>
      <w:r w:rsidR="00542A6E">
        <w:rPr>
          <w:rFonts w:ascii="Verdana" w:hAnsi="Verdana"/>
          <w:color w:val="000000" w:themeColor="text1"/>
          <w:sz w:val="20"/>
          <w:szCs w:val="20"/>
        </w:rPr>
        <w:t>prepare them for the workplace</w:t>
      </w:r>
      <w:r w:rsidR="007E65D4">
        <w:rPr>
          <w:rFonts w:ascii="Verdana" w:hAnsi="Verdana"/>
          <w:color w:val="000000" w:themeColor="text1"/>
          <w:sz w:val="20"/>
          <w:szCs w:val="20"/>
        </w:rPr>
        <w:t xml:space="preserve">. </w:t>
      </w:r>
      <w:r w:rsidR="00A04936">
        <w:rPr>
          <w:rFonts w:ascii="Verdana" w:hAnsi="Verdana"/>
          <w:color w:val="000000" w:themeColor="text1"/>
          <w:sz w:val="20"/>
          <w:szCs w:val="20"/>
        </w:rPr>
        <w:t xml:space="preserve">(Many would say that this has happened already.) </w:t>
      </w:r>
      <w:r w:rsidR="002834A6">
        <w:rPr>
          <w:rFonts w:ascii="Verdana" w:hAnsi="Verdana"/>
          <w:color w:val="000000" w:themeColor="text1"/>
          <w:sz w:val="20"/>
          <w:szCs w:val="20"/>
        </w:rPr>
        <w:t xml:space="preserve">The key difference between second level learning and third level learning is that in the latter, the majority of learning is, and is </w:t>
      </w:r>
      <w:r w:rsidR="002834A6" w:rsidRPr="00D065BF">
        <w:rPr>
          <w:rFonts w:ascii="Verdana" w:hAnsi="Verdana"/>
          <w:i/>
          <w:color w:val="000000" w:themeColor="text1"/>
          <w:sz w:val="20"/>
          <w:szCs w:val="20"/>
        </w:rPr>
        <w:t>supposed to be</w:t>
      </w:r>
      <w:r w:rsidR="002834A6">
        <w:rPr>
          <w:rFonts w:ascii="Verdana" w:hAnsi="Verdana"/>
          <w:color w:val="000000" w:themeColor="text1"/>
          <w:sz w:val="20"/>
          <w:szCs w:val="20"/>
        </w:rPr>
        <w:t xml:space="preserve">, done independently. A typical module </w:t>
      </w:r>
      <w:r w:rsidR="002D6A0E">
        <w:rPr>
          <w:rFonts w:ascii="Verdana" w:hAnsi="Verdana"/>
          <w:color w:val="000000" w:themeColor="text1"/>
          <w:sz w:val="20"/>
          <w:szCs w:val="20"/>
        </w:rPr>
        <w:t xml:space="preserve">in the STEM disciplines, for example, </w:t>
      </w:r>
      <w:r w:rsidR="002834A6">
        <w:rPr>
          <w:rFonts w:ascii="Verdana" w:hAnsi="Verdana"/>
          <w:color w:val="000000" w:themeColor="text1"/>
          <w:sz w:val="20"/>
          <w:szCs w:val="20"/>
        </w:rPr>
        <w:t xml:space="preserve">will </w:t>
      </w:r>
      <w:r w:rsidR="00A04936">
        <w:rPr>
          <w:rFonts w:ascii="Verdana" w:hAnsi="Verdana"/>
          <w:color w:val="000000" w:themeColor="text1"/>
          <w:sz w:val="20"/>
          <w:szCs w:val="20"/>
        </w:rPr>
        <w:t>require</w:t>
      </w:r>
      <w:r w:rsidR="002834A6">
        <w:rPr>
          <w:rFonts w:ascii="Verdana" w:hAnsi="Verdana"/>
          <w:color w:val="000000" w:themeColor="text1"/>
          <w:sz w:val="20"/>
          <w:szCs w:val="20"/>
        </w:rPr>
        <w:t xml:space="preserve"> about 4 hours of independent learning </w:t>
      </w:r>
      <w:r w:rsidR="00777D16">
        <w:rPr>
          <w:rFonts w:ascii="Verdana" w:hAnsi="Verdana"/>
          <w:color w:val="000000" w:themeColor="text1"/>
          <w:sz w:val="20"/>
          <w:szCs w:val="20"/>
        </w:rPr>
        <w:t>for every</w:t>
      </w:r>
      <w:r w:rsidR="002834A6">
        <w:rPr>
          <w:rFonts w:ascii="Verdana" w:hAnsi="Verdana"/>
          <w:color w:val="000000" w:themeColor="text1"/>
          <w:sz w:val="20"/>
          <w:szCs w:val="20"/>
        </w:rPr>
        <w:t xml:space="preserve"> hour of contact time. This </w:t>
      </w:r>
      <w:r w:rsidR="00542A6E">
        <w:rPr>
          <w:rFonts w:ascii="Verdana" w:hAnsi="Verdana"/>
          <w:color w:val="000000" w:themeColor="text1"/>
          <w:sz w:val="20"/>
          <w:szCs w:val="20"/>
        </w:rPr>
        <w:t>is in s</w:t>
      </w:r>
      <w:r w:rsidR="00224388">
        <w:rPr>
          <w:rFonts w:ascii="Verdana" w:hAnsi="Verdana"/>
          <w:color w:val="000000" w:themeColor="text1"/>
          <w:sz w:val="20"/>
          <w:szCs w:val="20"/>
        </w:rPr>
        <w:t>tark</w:t>
      </w:r>
      <w:r w:rsidR="00542A6E">
        <w:rPr>
          <w:rFonts w:ascii="Verdana" w:hAnsi="Verdana"/>
          <w:color w:val="000000" w:themeColor="text1"/>
          <w:sz w:val="20"/>
          <w:szCs w:val="20"/>
        </w:rPr>
        <w:t xml:space="preserve"> contrast to second level where, except for the last few weeks before the Leaving Certificate, student learning is mainly done in the classroom.</w:t>
      </w:r>
      <w:r w:rsidR="002834A6">
        <w:rPr>
          <w:rFonts w:ascii="Verdana" w:hAnsi="Verdana"/>
          <w:color w:val="000000" w:themeColor="text1"/>
          <w:sz w:val="20"/>
          <w:szCs w:val="20"/>
        </w:rPr>
        <w:t xml:space="preserve"> </w:t>
      </w:r>
      <w:r w:rsidR="00542A6E">
        <w:rPr>
          <w:rFonts w:ascii="Verdana" w:hAnsi="Verdana"/>
          <w:color w:val="000000" w:themeColor="text1"/>
          <w:sz w:val="20"/>
          <w:szCs w:val="20"/>
        </w:rPr>
        <w:t>The third reason is that third level institutions are operating within the context of a global prestige race. The prestige of a university, and its ability to attract the necessary funding to ‘stay afloat’</w:t>
      </w:r>
      <w:r w:rsidR="00777D16">
        <w:rPr>
          <w:rFonts w:ascii="Verdana" w:hAnsi="Verdana"/>
          <w:color w:val="000000" w:themeColor="text1"/>
          <w:sz w:val="20"/>
          <w:szCs w:val="20"/>
        </w:rPr>
        <w:t>,</w:t>
      </w:r>
      <w:r w:rsidR="00542A6E">
        <w:rPr>
          <w:rFonts w:ascii="Verdana" w:hAnsi="Verdana"/>
          <w:color w:val="000000" w:themeColor="text1"/>
          <w:sz w:val="20"/>
          <w:szCs w:val="20"/>
        </w:rPr>
        <w:t xml:space="preserve"> is most rapidly advanced by improving its research metrics and, crucially, by improving its reputation among academics worldwide. Acad</w:t>
      </w:r>
      <w:r w:rsidR="00777D16">
        <w:rPr>
          <w:rFonts w:ascii="Verdana" w:hAnsi="Verdana"/>
          <w:color w:val="000000" w:themeColor="text1"/>
          <w:sz w:val="20"/>
          <w:szCs w:val="20"/>
        </w:rPr>
        <w:t>e</w:t>
      </w:r>
      <w:r w:rsidR="00542A6E">
        <w:rPr>
          <w:rFonts w:ascii="Verdana" w:hAnsi="Verdana"/>
          <w:color w:val="000000" w:themeColor="text1"/>
          <w:sz w:val="20"/>
          <w:szCs w:val="20"/>
        </w:rPr>
        <w:t xml:space="preserve">mics are </w:t>
      </w:r>
      <w:r w:rsidR="00E16AA2">
        <w:rPr>
          <w:rFonts w:ascii="Verdana" w:hAnsi="Verdana"/>
          <w:color w:val="000000" w:themeColor="text1"/>
          <w:sz w:val="20"/>
          <w:szCs w:val="20"/>
        </w:rPr>
        <w:t>hugely</w:t>
      </w:r>
      <w:r w:rsidR="00542A6E">
        <w:rPr>
          <w:rFonts w:ascii="Verdana" w:hAnsi="Verdana"/>
          <w:color w:val="000000" w:themeColor="text1"/>
          <w:sz w:val="20"/>
          <w:szCs w:val="20"/>
        </w:rPr>
        <w:t xml:space="preserve"> influenced by research </w:t>
      </w:r>
      <w:r w:rsidR="00E16AA2">
        <w:rPr>
          <w:rFonts w:ascii="Verdana" w:hAnsi="Verdana"/>
          <w:color w:val="000000" w:themeColor="text1"/>
          <w:sz w:val="20"/>
          <w:szCs w:val="20"/>
        </w:rPr>
        <w:t xml:space="preserve">output </w:t>
      </w:r>
      <w:r w:rsidR="00542A6E">
        <w:rPr>
          <w:rFonts w:ascii="Verdana" w:hAnsi="Verdana"/>
          <w:color w:val="000000" w:themeColor="text1"/>
          <w:sz w:val="20"/>
          <w:szCs w:val="20"/>
        </w:rPr>
        <w:t xml:space="preserve">as </w:t>
      </w:r>
      <w:r w:rsidR="00542A6E" w:rsidRPr="00E16AA2">
        <w:rPr>
          <w:rFonts w:ascii="Verdana" w:hAnsi="Verdana"/>
          <w:i/>
          <w:color w:val="000000" w:themeColor="text1"/>
          <w:sz w:val="20"/>
          <w:szCs w:val="20"/>
        </w:rPr>
        <w:t>the</w:t>
      </w:r>
      <w:r w:rsidR="00542A6E">
        <w:rPr>
          <w:rFonts w:ascii="Verdana" w:hAnsi="Verdana"/>
          <w:color w:val="000000" w:themeColor="text1"/>
          <w:sz w:val="20"/>
          <w:szCs w:val="20"/>
        </w:rPr>
        <w:t xml:space="preserve"> m</w:t>
      </w:r>
      <w:r w:rsidR="00777D16">
        <w:rPr>
          <w:rFonts w:ascii="Verdana" w:hAnsi="Verdana"/>
          <w:color w:val="000000" w:themeColor="text1"/>
          <w:sz w:val="20"/>
          <w:szCs w:val="20"/>
        </w:rPr>
        <w:t>easure of an institution’s quality</w:t>
      </w:r>
      <w:r w:rsidR="00224388">
        <w:rPr>
          <w:rFonts w:ascii="Verdana" w:hAnsi="Verdana"/>
          <w:color w:val="000000" w:themeColor="text1"/>
          <w:sz w:val="20"/>
          <w:szCs w:val="20"/>
        </w:rPr>
        <w:t xml:space="preserve"> and</w:t>
      </w:r>
      <w:r w:rsidR="00542A6E">
        <w:rPr>
          <w:rFonts w:ascii="Verdana" w:hAnsi="Verdana"/>
          <w:color w:val="000000" w:themeColor="text1"/>
          <w:sz w:val="20"/>
          <w:szCs w:val="20"/>
        </w:rPr>
        <w:t xml:space="preserve"> </w:t>
      </w:r>
      <w:r w:rsidR="009B7813">
        <w:rPr>
          <w:rFonts w:ascii="Verdana" w:hAnsi="Verdana"/>
          <w:color w:val="000000" w:themeColor="text1"/>
          <w:sz w:val="20"/>
          <w:szCs w:val="20"/>
        </w:rPr>
        <w:t xml:space="preserve">under-funded </w:t>
      </w:r>
      <w:r w:rsidR="004A7C57">
        <w:rPr>
          <w:rFonts w:ascii="Verdana" w:hAnsi="Verdana"/>
          <w:color w:val="000000" w:themeColor="text1"/>
          <w:sz w:val="20"/>
          <w:szCs w:val="20"/>
        </w:rPr>
        <w:t>i</w:t>
      </w:r>
      <w:r w:rsidR="00777D16">
        <w:rPr>
          <w:rFonts w:ascii="Verdana" w:hAnsi="Verdana"/>
          <w:color w:val="000000" w:themeColor="text1"/>
          <w:sz w:val="20"/>
          <w:szCs w:val="20"/>
        </w:rPr>
        <w:t xml:space="preserve">nstitutions have </w:t>
      </w:r>
      <w:r w:rsidR="002D6A0E">
        <w:rPr>
          <w:rFonts w:ascii="Verdana" w:hAnsi="Verdana"/>
          <w:color w:val="000000" w:themeColor="text1"/>
          <w:sz w:val="20"/>
          <w:szCs w:val="20"/>
        </w:rPr>
        <w:t xml:space="preserve">no choice but to </w:t>
      </w:r>
      <w:r w:rsidR="00777D16">
        <w:rPr>
          <w:rFonts w:ascii="Verdana" w:hAnsi="Verdana"/>
          <w:color w:val="000000" w:themeColor="text1"/>
          <w:sz w:val="20"/>
          <w:szCs w:val="20"/>
        </w:rPr>
        <w:t xml:space="preserve">play the ‘game’. None of this, however, means that an institution can afford to neglect the quality of its teaching because that will ultimately lead to declining interest amongst school-leavers and a </w:t>
      </w:r>
      <w:r w:rsidR="00E16AA2">
        <w:rPr>
          <w:rFonts w:ascii="Verdana" w:hAnsi="Verdana"/>
          <w:color w:val="000000" w:themeColor="text1"/>
          <w:sz w:val="20"/>
          <w:szCs w:val="20"/>
        </w:rPr>
        <w:t>weakening</w:t>
      </w:r>
      <w:r w:rsidR="00777D16">
        <w:rPr>
          <w:rFonts w:ascii="Verdana" w:hAnsi="Verdana"/>
          <w:color w:val="000000" w:themeColor="text1"/>
          <w:sz w:val="20"/>
          <w:szCs w:val="20"/>
        </w:rPr>
        <w:t xml:space="preserve"> of the institution’s reputation amongst employers.</w:t>
      </w:r>
      <w:r w:rsidR="009851FA">
        <w:rPr>
          <w:rStyle w:val="FootnoteReference"/>
          <w:rFonts w:ascii="Verdana" w:hAnsi="Verdana"/>
          <w:color w:val="000000" w:themeColor="text1"/>
          <w:sz w:val="20"/>
          <w:szCs w:val="20"/>
        </w:rPr>
        <w:footnoteReference w:id="3"/>
      </w:r>
      <w:r w:rsidR="00224388">
        <w:rPr>
          <w:rFonts w:ascii="Verdana" w:hAnsi="Verdana"/>
          <w:color w:val="000000" w:themeColor="text1"/>
          <w:sz w:val="20"/>
          <w:szCs w:val="20"/>
        </w:rPr>
        <w:t xml:space="preserve"> </w:t>
      </w:r>
    </w:p>
    <w:p w:rsidR="00126903" w:rsidRDefault="00126903" w:rsidP="00E33681">
      <w:pPr>
        <w:pStyle w:val="Heading4"/>
        <w:numPr>
          <w:ilvl w:val="0"/>
          <w:numId w:val="2"/>
        </w:numPr>
        <w:ind w:left="360"/>
      </w:pPr>
      <w:r>
        <w:t xml:space="preserve">Should university lecturers </w:t>
      </w:r>
      <w:r w:rsidR="00E33681">
        <w:t xml:space="preserve">have to have or acquire a </w:t>
      </w:r>
      <w:r>
        <w:t>formal qualification in teaching?</w:t>
      </w:r>
    </w:p>
    <w:p w:rsidR="00785D4E" w:rsidRDefault="00126903" w:rsidP="009B7813">
      <w:pPr>
        <w:pStyle w:val="NormalWeb"/>
        <w:shd w:val="clear" w:color="auto" w:fill="FFFFFF"/>
        <w:spacing w:before="0" w:beforeAutospacing="0" w:after="200" w:afterAutospacing="0" w:line="276" w:lineRule="auto"/>
        <w:jc w:val="both"/>
        <w:textAlignment w:val="baseline"/>
        <w:rPr>
          <w:rFonts w:ascii="Verdana" w:hAnsi="Verdana"/>
          <w:color w:val="000000" w:themeColor="text1"/>
          <w:sz w:val="20"/>
          <w:szCs w:val="20"/>
        </w:rPr>
      </w:pPr>
      <w:r>
        <w:rPr>
          <w:rFonts w:ascii="Verdana" w:hAnsi="Verdana"/>
          <w:color w:val="000000" w:themeColor="text1"/>
          <w:sz w:val="20"/>
          <w:szCs w:val="20"/>
        </w:rPr>
        <w:t xml:space="preserve">There is no question that all academics who teach would benefit from some formal </w:t>
      </w:r>
      <w:r w:rsidR="00E33681">
        <w:rPr>
          <w:rFonts w:ascii="Verdana" w:hAnsi="Verdana"/>
          <w:color w:val="000000" w:themeColor="text1"/>
          <w:sz w:val="20"/>
          <w:szCs w:val="20"/>
        </w:rPr>
        <w:t xml:space="preserve">or informal </w:t>
      </w:r>
      <w:r>
        <w:rPr>
          <w:rFonts w:ascii="Verdana" w:hAnsi="Verdana"/>
          <w:color w:val="000000" w:themeColor="text1"/>
          <w:sz w:val="20"/>
          <w:szCs w:val="20"/>
        </w:rPr>
        <w:t xml:space="preserve">learning in teaching-related disciplines like </w:t>
      </w:r>
      <w:r w:rsidR="00E33681">
        <w:rPr>
          <w:rFonts w:ascii="Verdana" w:hAnsi="Verdana"/>
          <w:color w:val="000000" w:themeColor="text1"/>
          <w:sz w:val="20"/>
          <w:szCs w:val="20"/>
        </w:rPr>
        <w:t>c</w:t>
      </w:r>
      <w:r>
        <w:rPr>
          <w:rFonts w:ascii="Verdana" w:hAnsi="Verdana"/>
          <w:color w:val="000000" w:themeColor="text1"/>
          <w:sz w:val="20"/>
          <w:szCs w:val="20"/>
        </w:rPr>
        <w:t xml:space="preserve">ognitive </w:t>
      </w:r>
      <w:r w:rsidR="00E33681">
        <w:rPr>
          <w:rFonts w:ascii="Verdana" w:hAnsi="Verdana"/>
          <w:color w:val="000000" w:themeColor="text1"/>
          <w:sz w:val="20"/>
          <w:szCs w:val="20"/>
        </w:rPr>
        <w:t>s</w:t>
      </w:r>
      <w:r>
        <w:rPr>
          <w:rFonts w:ascii="Verdana" w:hAnsi="Verdana"/>
          <w:color w:val="000000" w:themeColor="text1"/>
          <w:sz w:val="20"/>
          <w:szCs w:val="20"/>
        </w:rPr>
        <w:t xml:space="preserve">cience. </w:t>
      </w:r>
      <w:r w:rsidR="00E33681">
        <w:rPr>
          <w:rFonts w:ascii="Verdana" w:hAnsi="Verdana"/>
          <w:color w:val="000000" w:themeColor="text1"/>
          <w:sz w:val="20"/>
          <w:szCs w:val="20"/>
        </w:rPr>
        <w:t>However</w:t>
      </w:r>
      <w:r>
        <w:rPr>
          <w:rFonts w:ascii="Verdana" w:hAnsi="Verdana"/>
          <w:color w:val="000000" w:themeColor="text1"/>
          <w:sz w:val="20"/>
          <w:szCs w:val="20"/>
        </w:rPr>
        <w:t>, there is no convincing evidence to suggest that by simply requiring all acad</w:t>
      </w:r>
      <w:r w:rsidR="00E33681">
        <w:rPr>
          <w:rFonts w:ascii="Verdana" w:hAnsi="Verdana"/>
          <w:color w:val="000000" w:themeColor="text1"/>
          <w:sz w:val="20"/>
          <w:szCs w:val="20"/>
        </w:rPr>
        <w:t>e</w:t>
      </w:r>
      <w:r>
        <w:rPr>
          <w:rFonts w:ascii="Verdana" w:hAnsi="Verdana"/>
          <w:color w:val="000000" w:themeColor="text1"/>
          <w:sz w:val="20"/>
          <w:szCs w:val="20"/>
        </w:rPr>
        <w:t xml:space="preserve">mics to gain a formal </w:t>
      </w:r>
      <w:r w:rsidR="00E33681">
        <w:rPr>
          <w:rFonts w:ascii="Verdana" w:hAnsi="Verdana"/>
          <w:color w:val="000000" w:themeColor="text1"/>
          <w:sz w:val="20"/>
          <w:szCs w:val="20"/>
        </w:rPr>
        <w:t>qualification</w:t>
      </w:r>
      <w:r w:rsidR="00E33681">
        <w:rPr>
          <w:rStyle w:val="FootnoteReference"/>
          <w:rFonts w:ascii="Verdana" w:hAnsi="Verdana"/>
          <w:color w:val="000000" w:themeColor="text1"/>
          <w:sz w:val="20"/>
          <w:szCs w:val="20"/>
        </w:rPr>
        <w:footnoteReference w:id="4"/>
      </w:r>
      <w:r w:rsidR="00F222F6">
        <w:rPr>
          <w:rFonts w:ascii="Verdana" w:hAnsi="Verdana"/>
          <w:color w:val="000000" w:themeColor="text1"/>
          <w:sz w:val="20"/>
          <w:szCs w:val="20"/>
        </w:rPr>
        <w:t>,</w:t>
      </w:r>
      <w:r w:rsidR="00E33681">
        <w:rPr>
          <w:rFonts w:ascii="Verdana" w:hAnsi="Verdana"/>
          <w:color w:val="000000" w:themeColor="text1"/>
          <w:sz w:val="20"/>
          <w:szCs w:val="20"/>
        </w:rPr>
        <w:t xml:space="preserve"> teaching</w:t>
      </w:r>
      <w:r>
        <w:rPr>
          <w:rFonts w:ascii="Verdana" w:hAnsi="Verdana"/>
          <w:color w:val="000000" w:themeColor="text1"/>
          <w:sz w:val="20"/>
          <w:szCs w:val="20"/>
        </w:rPr>
        <w:t xml:space="preserve"> standards will improve across the sector. Indeed, a 2012 report produced by the OECD</w:t>
      </w:r>
      <w:r w:rsidR="00E33681">
        <w:rPr>
          <w:rStyle w:val="FootnoteReference"/>
          <w:rFonts w:ascii="Verdana" w:hAnsi="Verdana"/>
          <w:color w:val="000000" w:themeColor="text1"/>
          <w:sz w:val="20"/>
          <w:szCs w:val="20"/>
        </w:rPr>
        <w:footnoteReference w:id="5"/>
      </w:r>
      <w:r w:rsidR="00E33681">
        <w:rPr>
          <w:rFonts w:ascii="Verdana" w:hAnsi="Verdana"/>
          <w:color w:val="000000" w:themeColor="text1"/>
          <w:sz w:val="20"/>
          <w:szCs w:val="20"/>
        </w:rPr>
        <w:t xml:space="preserve"> went to considerable lengths to make the point that improving the quality of teaching at third level requires a </w:t>
      </w:r>
      <w:r w:rsidR="00E16AA2">
        <w:rPr>
          <w:rFonts w:ascii="Verdana" w:hAnsi="Verdana"/>
          <w:color w:val="000000" w:themeColor="text1"/>
          <w:sz w:val="20"/>
          <w:szCs w:val="20"/>
        </w:rPr>
        <w:t xml:space="preserve">multi-faceted </w:t>
      </w:r>
      <w:r w:rsidR="00E33681">
        <w:rPr>
          <w:rFonts w:ascii="Verdana" w:hAnsi="Verdana"/>
          <w:color w:val="000000" w:themeColor="text1"/>
          <w:sz w:val="20"/>
          <w:szCs w:val="20"/>
        </w:rPr>
        <w:t xml:space="preserve">approach. It requires buy-in at the level of the institution, at the level of the programme and at the level of the </w:t>
      </w:r>
      <w:r w:rsidR="00E16AA2">
        <w:rPr>
          <w:rFonts w:ascii="Verdana" w:hAnsi="Verdana"/>
          <w:color w:val="000000" w:themeColor="text1"/>
          <w:sz w:val="20"/>
          <w:szCs w:val="20"/>
        </w:rPr>
        <w:t>lecturer</w:t>
      </w:r>
      <w:r w:rsidR="00E33681">
        <w:rPr>
          <w:rFonts w:ascii="Verdana" w:hAnsi="Verdana"/>
          <w:color w:val="000000" w:themeColor="text1"/>
          <w:sz w:val="20"/>
          <w:szCs w:val="20"/>
        </w:rPr>
        <w:t xml:space="preserve">. If we focus solely on </w:t>
      </w:r>
      <w:r w:rsidR="00785D4E">
        <w:rPr>
          <w:rFonts w:ascii="Verdana" w:hAnsi="Verdana"/>
          <w:color w:val="000000" w:themeColor="text1"/>
          <w:sz w:val="20"/>
          <w:szCs w:val="20"/>
        </w:rPr>
        <w:t xml:space="preserve">what </w:t>
      </w:r>
      <w:r w:rsidR="008010D2">
        <w:rPr>
          <w:rFonts w:ascii="Verdana" w:hAnsi="Verdana"/>
          <w:color w:val="000000" w:themeColor="text1"/>
          <w:sz w:val="20"/>
          <w:szCs w:val="20"/>
        </w:rPr>
        <w:t>occurs</w:t>
      </w:r>
      <w:r w:rsidR="00785D4E">
        <w:rPr>
          <w:rFonts w:ascii="Verdana" w:hAnsi="Verdana"/>
          <w:color w:val="000000" w:themeColor="text1"/>
          <w:sz w:val="20"/>
          <w:szCs w:val="20"/>
        </w:rPr>
        <w:t xml:space="preserve"> in the classroom </w:t>
      </w:r>
      <w:r w:rsidR="00D065BF">
        <w:rPr>
          <w:rFonts w:ascii="Verdana" w:hAnsi="Verdana"/>
          <w:color w:val="000000" w:themeColor="text1"/>
          <w:sz w:val="20"/>
          <w:szCs w:val="20"/>
        </w:rPr>
        <w:t xml:space="preserve">or lecture theatre </w:t>
      </w:r>
      <w:r w:rsidR="00785D4E">
        <w:rPr>
          <w:rFonts w:ascii="Verdana" w:hAnsi="Verdana"/>
          <w:color w:val="000000" w:themeColor="text1"/>
          <w:sz w:val="20"/>
          <w:szCs w:val="20"/>
        </w:rPr>
        <w:t xml:space="preserve">(e.g. on an individual </w:t>
      </w:r>
      <w:r w:rsidR="00785D4E">
        <w:rPr>
          <w:rFonts w:ascii="Verdana" w:hAnsi="Verdana"/>
          <w:color w:val="000000" w:themeColor="text1"/>
          <w:sz w:val="20"/>
          <w:szCs w:val="20"/>
        </w:rPr>
        <w:lastRenderedPageBreak/>
        <w:t>lecturer’s ability to engage a class)</w:t>
      </w:r>
      <w:r w:rsidR="00E33681">
        <w:rPr>
          <w:rFonts w:ascii="Verdana" w:hAnsi="Verdana"/>
          <w:color w:val="000000" w:themeColor="text1"/>
          <w:sz w:val="20"/>
          <w:szCs w:val="20"/>
        </w:rPr>
        <w:t xml:space="preserve">, we will miss out on </w:t>
      </w:r>
      <w:r w:rsidR="00785D4E">
        <w:rPr>
          <w:rFonts w:ascii="Verdana" w:hAnsi="Verdana"/>
          <w:color w:val="000000" w:themeColor="text1"/>
          <w:sz w:val="20"/>
          <w:szCs w:val="20"/>
        </w:rPr>
        <w:t>a huge amount of</w:t>
      </w:r>
      <w:r w:rsidR="00E33681">
        <w:rPr>
          <w:rFonts w:ascii="Verdana" w:hAnsi="Verdana"/>
          <w:color w:val="000000" w:themeColor="text1"/>
          <w:sz w:val="20"/>
          <w:szCs w:val="20"/>
        </w:rPr>
        <w:t xml:space="preserve"> what is required to deliver teaching excellence. </w:t>
      </w:r>
      <w:r w:rsidR="00785D4E">
        <w:rPr>
          <w:rFonts w:ascii="Verdana" w:hAnsi="Verdana"/>
          <w:color w:val="000000" w:themeColor="text1"/>
          <w:sz w:val="20"/>
          <w:szCs w:val="20"/>
        </w:rPr>
        <w:t>It is quite clear that u</w:t>
      </w:r>
      <w:r w:rsidR="00E33681">
        <w:rPr>
          <w:rFonts w:ascii="Verdana" w:hAnsi="Verdana"/>
          <w:color w:val="000000" w:themeColor="text1"/>
          <w:sz w:val="20"/>
          <w:szCs w:val="20"/>
        </w:rPr>
        <w:t xml:space="preserve">nless the </w:t>
      </w:r>
      <w:r w:rsidR="00E33681" w:rsidRPr="00785D4E">
        <w:rPr>
          <w:rFonts w:ascii="Verdana" w:hAnsi="Verdana"/>
          <w:i/>
          <w:color w:val="000000" w:themeColor="text1"/>
          <w:sz w:val="20"/>
          <w:szCs w:val="20"/>
        </w:rPr>
        <w:t>culture</w:t>
      </w:r>
      <w:r w:rsidR="00E33681">
        <w:rPr>
          <w:rFonts w:ascii="Verdana" w:hAnsi="Verdana"/>
          <w:color w:val="000000" w:themeColor="text1"/>
          <w:sz w:val="20"/>
          <w:szCs w:val="20"/>
        </w:rPr>
        <w:t xml:space="preserve"> of an institution is one that values </w:t>
      </w:r>
      <w:r w:rsidR="003F5E83">
        <w:rPr>
          <w:rFonts w:ascii="Verdana" w:hAnsi="Verdana"/>
          <w:color w:val="000000" w:themeColor="text1"/>
          <w:sz w:val="20"/>
          <w:szCs w:val="20"/>
        </w:rPr>
        <w:t>t</w:t>
      </w:r>
      <w:r w:rsidR="00E33681">
        <w:rPr>
          <w:rFonts w:ascii="Verdana" w:hAnsi="Verdana"/>
          <w:color w:val="000000" w:themeColor="text1"/>
          <w:sz w:val="20"/>
          <w:szCs w:val="20"/>
        </w:rPr>
        <w:t xml:space="preserve">eaching and </w:t>
      </w:r>
      <w:r w:rsidR="003F5E83">
        <w:rPr>
          <w:rFonts w:ascii="Verdana" w:hAnsi="Verdana"/>
          <w:color w:val="000000" w:themeColor="text1"/>
          <w:sz w:val="20"/>
          <w:szCs w:val="20"/>
        </w:rPr>
        <w:t>l</w:t>
      </w:r>
      <w:r w:rsidR="00E33681">
        <w:rPr>
          <w:rFonts w:ascii="Verdana" w:hAnsi="Verdana"/>
          <w:color w:val="000000" w:themeColor="text1"/>
          <w:sz w:val="20"/>
          <w:szCs w:val="20"/>
        </w:rPr>
        <w:t xml:space="preserve">earning, no amount of compulsory </w:t>
      </w:r>
      <w:r w:rsidR="00785D4E">
        <w:rPr>
          <w:rFonts w:ascii="Verdana" w:hAnsi="Verdana"/>
          <w:color w:val="000000" w:themeColor="text1"/>
          <w:sz w:val="20"/>
          <w:szCs w:val="20"/>
        </w:rPr>
        <w:t xml:space="preserve">teacher </w:t>
      </w:r>
      <w:r w:rsidR="00E33681">
        <w:rPr>
          <w:rFonts w:ascii="Verdana" w:hAnsi="Verdana"/>
          <w:color w:val="000000" w:themeColor="text1"/>
          <w:sz w:val="20"/>
          <w:szCs w:val="20"/>
        </w:rPr>
        <w:t xml:space="preserve">training will improve standards. Instead, </w:t>
      </w:r>
      <w:r w:rsidR="00785D4E">
        <w:rPr>
          <w:rFonts w:ascii="Verdana" w:hAnsi="Verdana"/>
          <w:color w:val="000000" w:themeColor="text1"/>
          <w:sz w:val="20"/>
          <w:szCs w:val="20"/>
        </w:rPr>
        <w:t xml:space="preserve">new lecturers will simply tick that particular box and </w:t>
      </w:r>
      <w:r w:rsidR="00D735D1">
        <w:rPr>
          <w:rFonts w:ascii="Verdana" w:hAnsi="Verdana"/>
          <w:color w:val="000000" w:themeColor="text1"/>
          <w:sz w:val="20"/>
          <w:szCs w:val="20"/>
        </w:rPr>
        <w:t>subsequently</w:t>
      </w:r>
      <w:r w:rsidR="00785D4E">
        <w:rPr>
          <w:rFonts w:ascii="Verdana" w:hAnsi="Verdana"/>
          <w:color w:val="000000" w:themeColor="text1"/>
          <w:sz w:val="20"/>
          <w:szCs w:val="20"/>
        </w:rPr>
        <w:t xml:space="preserve"> focus on those aspects of the academic career that are valued by their institution.</w:t>
      </w:r>
    </w:p>
    <w:p w:rsidR="00B321A5" w:rsidRDefault="00785D4E" w:rsidP="005B5B73">
      <w:pPr>
        <w:pStyle w:val="NormalWeb"/>
        <w:shd w:val="clear" w:color="auto" w:fill="FFFFFF"/>
        <w:spacing w:before="0" w:beforeAutospacing="0" w:after="200" w:afterAutospacing="0" w:line="276" w:lineRule="auto"/>
        <w:jc w:val="both"/>
        <w:textAlignment w:val="baseline"/>
        <w:rPr>
          <w:rFonts w:ascii="Verdana" w:hAnsi="Verdana"/>
          <w:color w:val="000000" w:themeColor="text1"/>
          <w:sz w:val="20"/>
          <w:szCs w:val="20"/>
        </w:rPr>
      </w:pPr>
      <w:r>
        <w:rPr>
          <w:rFonts w:ascii="Verdana" w:hAnsi="Verdana"/>
          <w:color w:val="000000" w:themeColor="text1"/>
          <w:sz w:val="20"/>
          <w:szCs w:val="20"/>
        </w:rPr>
        <w:t>When it comes to many ongoing discussions about T&amp;L quality in Ireland</w:t>
      </w:r>
      <w:r w:rsidR="003F5E83">
        <w:rPr>
          <w:rStyle w:val="FootnoteReference"/>
          <w:rFonts w:ascii="Verdana" w:hAnsi="Verdana"/>
          <w:color w:val="000000" w:themeColor="text1"/>
          <w:sz w:val="20"/>
          <w:szCs w:val="20"/>
        </w:rPr>
        <w:footnoteReference w:id="6"/>
      </w:r>
      <w:r>
        <w:rPr>
          <w:rFonts w:ascii="Verdana" w:hAnsi="Verdana"/>
          <w:color w:val="000000" w:themeColor="text1"/>
          <w:sz w:val="20"/>
          <w:szCs w:val="20"/>
        </w:rPr>
        <w:t xml:space="preserve">, the </w:t>
      </w:r>
      <w:r w:rsidR="004A7C57">
        <w:rPr>
          <w:rFonts w:ascii="Verdana" w:hAnsi="Verdana"/>
          <w:color w:val="000000" w:themeColor="text1"/>
          <w:sz w:val="20"/>
          <w:szCs w:val="20"/>
        </w:rPr>
        <w:t>‘</w:t>
      </w:r>
      <w:r>
        <w:rPr>
          <w:rFonts w:ascii="Verdana" w:hAnsi="Verdana"/>
          <w:color w:val="000000" w:themeColor="text1"/>
          <w:sz w:val="20"/>
          <w:szCs w:val="20"/>
        </w:rPr>
        <w:t>elephant in the room</w:t>
      </w:r>
      <w:r w:rsidR="004A7C57">
        <w:rPr>
          <w:rFonts w:ascii="Verdana" w:hAnsi="Verdana"/>
          <w:color w:val="000000" w:themeColor="text1"/>
          <w:sz w:val="20"/>
          <w:szCs w:val="20"/>
        </w:rPr>
        <w:t>’</w:t>
      </w:r>
      <w:r>
        <w:rPr>
          <w:rFonts w:ascii="Verdana" w:hAnsi="Verdana"/>
          <w:color w:val="000000" w:themeColor="text1"/>
          <w:sz w:val="20"/>
          <w:szCs w:val="20"/>
        </w:rPr>
        <w:t xml:space="preserve"> is </w:t>
      </w:r>
      <w:r w:rsidRPr="00F222F6">
        <w:rPr>
          <w:rFonts w:ascii="Verdana" w:hAnsi="Verdana"/>
          <w:i/>
          <w:color w:val="000000" w:themeColor="text1"/>
          <w:sz w:val="20"/>
          <w:szCs w:val="20"/>
        </w:rPr>
        <w:t>research</w:t>
      </w:r>
      <w:r>
        <w:rPr>
          <w:rFonts w:ascii="Verdana" w:hAnsi="Verdana"/>
          <w:color w:val="000000" w:themeColor="text1"/>
          <w:sz w:val="20"/>
          <w:szCs w:val="20"/>
        </w:rPr>
        <w:t>. Universities, and increasingly the IoTs (soon to be T</w:t>
      </w:r>
      <w:r w:rsidR="00F222F6">
        <w:rPr>
          <w:rFonts w:ascii="Verdana" w:hAnsi="Verdana"/>
          <w:color w:val="000000" w:themeColor="text1"/>
          <w:sz w:val="20"/>
          <w:szCs w:val="20"/>
        </w:rPr>
        <w:t>U</w:t>
      </w:r>
      <w:r>
        <w:rPr>
          <w:rFonts w:ascii="Verdana" w:hAnsi="Verdana"/>
          <w:color w:val="000000" w:themeColor="text1"/>
          <w:sz w:val="20"/>
          <w:szCs w:val="20"/>
        </w:rPr>
        <w:t>s</w:t>
      </w:r>
      <w:r w:rsidR="00E16AA2">
        <w:rPr>
          <w:rFonts w:ascii="Verdana" w:hAnsi="Verdana"/>
          <w:color w:val="000000" w:themeColor="text1"/>
          <w:sz w:val="20"/>
          <w:szCs w:val="20"/>
        </w:rPr>
        <w:t xml:space="preserve"> despite the fact that they are </w:t>
      </w:r>
      <w:r w:rsidR="009B7813">
        <w:rPr>
          <w:rFonts w:ascii="Verdana" w:hAnsi="Verdana"/>
          <w:color w:val="000000" w:themeColor="text1"/>
          <w:sz w:val="20"/>
          <w:szCs w:val="20"/>
        </w:rPr>
        <w:t>particularly badly</w:t>
      </w:r>
      <w:r w:rsidR="00E16AA2">
        <w:rPr>
          <w:rFonts w:ascii="Verdana" w:hAnsi="Verdana"/>
          <w:color w:val="000000" w:themeColor="text1"/>
          <w:sz w:val="20"/>
          <w:szCs w:val="20"/>
        </w:rPr>
        <w:t xml:space="preserve"> funded</w:t>
      </w:r>
      <w:r>
        <w:rPr>
          <w:rFonts w:ascii="Verdana" w:hAnsi="Verdana"/>
          <w:color w:val="000000" w:themeColor="text1"/>
          <w:sz w:val="20"/>
          <w:szCs w:val="20"/>
        </w:rPr>
        <w:t xml:space="preserve">) are </w:t>
      </w:r>
      <w:r w:rsidRPr="00F222F6">
        <w:rPr>
          <w:rFonts w:ascii="Verdana" w:hAnsi="Verdana"/>
          <w:i/>
          <w:color w:val="000000" w:themeColor="text1"/>
          <w:sz w:val="20"/>
          <w:szCs w:val="20"/>
        </w:rPr>
        <w:t xml:space="preserve">defined </w:t>
      </w:r>
      <w:r>
        <w:rPr>
          <w:rFonts w:ascii="Verdana" w:hAnsi="Verdana"/>
          <w:color w:val="000000" w:themeColor="text1"/>
          <w:sz w:val="20"/>
          <w:szCs w:val="20"/>
        </w:rPr>
        <w:t xml:space="preserve">by the fact that they have a dual mandate, i.e., </w:t>
      </w:r>
      <w:r w:rsidR="00F222F6">
        <w:rPr>
          <w:rFonts w:ascii="Verdana" w:hAnsi="Verdana"/>
          <w:color w:val="000000" w:themeColor="text1"/>
          <w:sz w:val="20"/>
          <w:szCs w:val="20"/>
        </w:rPr>
        <w:t>they are required to</w:t>
      </w:r>
      <w:r>
        <w:rPr>
          <w:rFonts w:ascii="Verdana" w:hAnsi="Verdana"/>
          <w:color w:val="000000" w:themeColor="text1"/>
          <w:sz w:val="20"/>
          <w:szCs w:val="20"/>
        </w:rPr>
        <w:t xml:space="preserve"> </w:t>
      </w:r>
      <w:r w:rsidR="00F222F6">
        <w:rPr>
          <w:rFonts w:ascii="Verdana" w:hAnsi="Verdana"/>
          <w:color w:val="000000" w:themeColor="text1"/>
          <w:sz w:val="20"/>
          <w:szCs w:val="20"/>
        </w:rPr>
        <w:t>both educate and to create new knowledge through</w:t>
      </w:r>
      <w:r>
        <w:rPr>
          <w:rFonts w:ascii="Verdana" w:hAnsi="Verdana"/>
          <w:color w:val="000000" w:themeColor="text1"/>
          <w:sz w:val="20"/>
          <w:szCs w:val="20"/>
        </w:rPr>
        <w:t xml:space="preserve"> research. </w:t>
      </w:r>
      <w:r w:rsidR="00F222F6">
        <w:rPr>
          <w:rFonts w:ascii="Verdana" w:hAnsi="Verdana"/>
          <w:color w:val="000000" w:themeColor="text1"/>
          <w:sz w:val="20"/>
          <w:szCs w:val="20"/>
        </w:rPr>
        <w:t xml:space="preserve">In addition, </w:t>
      </w:r>
      <w:r w:rsidR="004A7C57">
        <w:rPr>
          <w:rFonts w:ascii="Verdana" w:hAnsi="Verdana"/>
          <w:color w:val="000000" w:themeColor="text1"/>
          <w:sz w:val="20"/>
          <w:szCs w:val="20"/>
        </w:rPr>
        <w:t>u</w:t>
      </w:r>
      <w:r>
        <w:rPr>
          <w:rFonts w:ascii="Verdana" w:hAnsi="Verdana"/>
          <w:color w:val="000000" w:themeColor="text1"/>
          <w:sz w:val="20"/>
          <w:szCs w:val="20"/>
        </w:rPr>
        <w:t xml:space="preserve">niversities and IoTs are increasingly </w:t>
      </w:r>
      <w:r w:rsidR="00F222F6">
        <w:rPr>
          <w:rFonts w:ascii="Verdana" w:hAnsi="Verdana"/>
          <w:color w:val="000000" w:themeColor="text1"/>
          <w:sz w:val="20"/>
          <w:szCs w:val="20"/>
        </w:rPr>
        <w:t xml:space="preserve">seen as </w:t>
      </w:r>
      <w:r>
        <w:rPr>
          <w:rFonts w:ascii="Verdana" w:hAnsi="Verdana"/>
          <w:color w:val="000000" w:themeColor="text1"/>
          <w:sz w:val="20"/>
          <w:szCs w:val="20"/>
        </w:rPr>
        <w:t xml:space="preserve">drivers of innovation </w:t>
      </w:r>
      <w:r w:rsidR="00F222F6">
        <w:rPr>
          <w:rFonts w:ascii="Verdana" w:hAnsi="Verdana"/>
          <w:color w:val="000000" w:themeColor="text1"/>
          <w:sz w:val="20"/>
          <w:szCs w:val="20"/>
        </w:rPr>
        <w:t xml:space="preserve">and economic growth. </w:t>
      </w:r>
      <w:r w:rsidR="003F5E83">
        <w:rPr>
          <w:rFonts w:ascii="Verdana" w:hAnsi="Verdana"/>
          <w:color w:val="000000" w:themeColor="text1"/>
          <w:sz w:val="20"/>
          <w:szCs w:val="20"/>
        </w:rPr>
        <w:t xml:space="preserve">Therefore, we have to view third level teaching through a different lens </w:t>
      </w:r>
      <w:r w:rsidR="00B0191F">
        <w:rPr>
          <w:rFonts w:ascii="Verdana" w:hAnsi="Verdana"/>
          <w:color w:val="000000" w:themeColor="text1"/>
          <w:sz w:val="20"/>
          <w:szCs w:val="20"/>
        </w:rPr>
        <w:t>from</w:t>
      </w:r>
      <w:r w:rsidR="003F5E83">
        <w:rPr>
          <w:rFonts w:ascii="Verdana" w:hAnsi="Verdana"/>
          <w:color w:val="000000" w:themeColor="text1"/>
          <w:sz w:val="20"/>
          <w:szCs w:val="20"/>
        </w:rPr>
        <w:t xml:space="preserve"> that used for primary and secondary education. This is not to suggest that we should accept sub-standard tea</w:t>
      </w:r>
      <w:r w:rsidR="00B0191F">
        <w:rPr>
          <w:rFonts w:ascii="Verdana" w:hAnsi="Verdana"/>
          <w:color w:val="000000" w:themeColor="text1"/>
          <w:sz w:val="20"/>
          <w:szCs w:val="20"/>
        </w:rPr>
        <w:t>c</w:t>
      </w:r>
      <w:r w:rsidR="003F5E83">
        <w:rPr>
          <w:rFonts w:ascii="Verdana" w:hAnsi="Verdana"/>
          <w:color w:val="000000" w:themeColor="text1"/>
          <w:sz w:val="20"/>
          <w:szCs w:val="20"/>
        </w:rPr>
        <w:t xml:space="preserve">hing; rather it is to </w:t>
      </w:r>
      <w:r w:rsidR="005B5B73">
        <w:rPr>
          <w:rFonts w:ascii="Verdana" w:hAnsi="Verdana"/>
          <w:color w:val="000000" w:themeColor="text1"/>
          <w:sz w:val="20"/>
          <w:szCs w:val="20"/>
        </w:rPr>
        <w:t>suggest that</w:t>
      </w:r>
      <w:r w:rsidR="003F5E83">
        <w:rPr>
          <w:rFonts w:ascii="Verdana" w:hAnsi="Verdana"/>
          <w:color w:val="000000" w:themeColor="text1"/>
          <w:sz w:val="20"/>
          <w:szCs w:val="20"/>
        </w:rPr>
        <w:t xml:space="preserve"> the overall quality of a third level student’s learning experience </w:t>
      </w:r>
      <w:r w:rsidR="00B0191F">
        <w:rPr>
          <w:rFonts w:ascii="Verdana" w:hAnsi="Verdana"/>
          <w:color w:val="000000" w:themeColor="text1"/>
          <w:sz w:val="20"/>
          <w:szCs w:val="20"/>
        </w:rPr>
        <w:t xml:space="preserve">derives from </w:t>
      </w:r>
      <w:r w:rsidR="003F5E83">
        <w:rPr>
          <w:rFonts w:ascii="Verdana" w:hAnsi="Verdana"/>
          <w:color w:val="000000" w:themeColor="text1"/>
          <w:sz w:val="20"/>
          <w:szCs w:val="20"/>
        </w:rPr>
        <w:t>m</w:t>
      </w:r>
      <w:r w:rsidR="00B0191F">
        <w:rPr>
          <w:rFonts w:ascii="Verdana" w:hAnsi="Verdana"/>
          <w:color w:val="000000" w:themeColor="text1"/>
          <w:sz w:val="20"/>
          <w:szCs w:val="20"/>
        </w:rPr>
        <w:t>a</w:t>
      </w:r>
      <w:r w:rsidR="003F5E83">
        <w:rPr>
          <w:rFonts w:ascii="Verdana" w:hAnsi="Verdana"/>
          <w:color w:val="000000" w:themeColor="text1"/>
          <w:sz w:val="20"/>
          <w:szCs w:val="20"/>
        </w:rPr>
        <w:t xml:space="preserve">ny </w:t>
      </w:r>
      <w:r w:rsidR="004A7C57">
        <w:rPr>
          <w:rFonts w:ascii="Verdana" w:hAnsi="Verdana"/>
          <w:color w:val="000000" w:themeColor="text1"/>
          <w:sz w:val="20"/>
          <w:szCs w:val="20"/>
        </w:rPr>
        <w:t xml:space="preserve">elements and these </w:t>
      </w:r>
      <w:r w:rsidR="003F5E83">
        <w:rPr>
          <w:rFonts w:ascii="Verdana" w:hAnsi="Verdana"/>
          <w:color w:val="000000" w:themeColor="text1"/>
          <w:sz w:val="20"/>
          <w:szCs w:val="20"/>
        </w:rPr>
        <w:t>includ</w:t>
      </w:r>
      <w:r w:rsidR="004A7C57">
        <w:rPr>
          <w:rFonts w:ascii="Verdana" w:hAnsi="Verdana"/>
          <w:color w:val="000000" w:themeColor="text1"/>
          <w:sz w:val="20"/>
          <w:szCs w:val="20"/>
        </w:rPr>
        <w:t>e</w:t>
      </w:r>
      <w:r w:rsidR="003F5E83">
        <w:rPr>
          <w:rFonts w:ascii="Verdana" w:hAnsi="Verdana"/>
          <w:color w:val="000000" w:themeColor="text1"/>
          <w:sz w:val="20"/>
          <w:szCs w:val="20"/>
        </w:rPr>
        <w:t xml:space="preserve"> </w:t>
      </w:r>
      <w:r w:rsidR="004A7C57">
        <w:rPr>
          <w:rFonts w:ascii="Verdana" w:hAnsi="Verdana"/>
          <w:color w:val="000000" w:themeColor="text1"/>
          <w:sz w:val="20"/>
          <w:szCs w:val="20"/>
        </w:rPr>
        <w:t xml:space="preserve">not only </w:t>
      </w:r>
      <w:r w:rsidR="003F5E83">
        <w:rPr>
          <w:rFonts w:ascii="Verdana" w:hAnsi="Verdana"/>
          <w:color w:val="000000" w:themeColor="text1"/>
          <w:sz w:val="20"/>
          <w:szCs w:val="20"/>
        </w:rPr>
        <w:t>the quality of the classr</w:t>
      </w:r>
      <w:r w:rsidR="00B0191F">
        <w:rPr>
          <w:rFonts w:ascii="Verdana" w:hAnsi="Verdana"/>
          <w:color w:val="000000" w:themeColor="text1"/>
          <w:sz w:val="20"/>
          <w:szCs w:val="20"/>
        </w:rPr>
        <w:t>o</w:t>
      </w:r>
      <w:r w:rsidR="003F5E83">
        <w:rPr>
          <w:rFonts w:ascii="Verdana" w:hAnsi="Verdana"/>
          <w:color w:val="000000" w:themeColor="text1"/>
          <w:sz w:val="20"/>
          <w:szCs w:val="20"/>
        </w:rPr>
        <w:t>om experience</w:t>
      </w:r>
      <w:r w:rsidR="004A7C57">
        <w:rPr>
          <w:rFonts w:ascii="Verdana" w:hAnsi="Verdana"/>
          <w:color w:val="000000" w:themeColor="text1"/>
          <w:sz w:val="20"/>
          <w:szCs w:val="20"/>
        </w:rPr>
        <w:t xml:space="preserve"> and </w:t>
      </w:r>
      <w:r w:rsidR="003F5E83">
        <w:rPr>
          <w:rFonts w:ascii="Verdana" w:hAnsi="Verdana"/>
          <w:color w:val="000000" w:themeColor="text1"/>
          <w:sz w:val="20"/>
          <w:szCs w:val="20"/>
        </w:rPr>
        <w:t xml:space="preserve">the level of support </w:t>
      </w:r>
      <w:r w:rsidR="00224388">
        <w:rPr>
          <w:rFonts w:ascii="Verdana" w:hAnsi="Verdana"/>
          <w:color w:val="000000" w:themeColor="text1"/>
          <w:sz w:val="20"/>
          <w:szCs w:val="20"/>
        </w:rPr>
        <w:t xml:space="preserve">that </w:t>
      </w:r>
      <w:r w:rsidR="00E16AA2">
        <w:rPr>
          <w:rFonts w:ascii="Verdana" w:hAnsi="Verdana"/>
          <w:color w:val="000000" w:themeColor="text1"/>
          <w:sz w:val="20"/>
          <w:szCs w:val="20"/>
        </w:rPr>
        <w:t>he/she</w:t>
      </w:r>
      <w:r w:rsidR="00B0191F">
        <w:rPr>
          <w:rFonts w:ascii="Verdana" w:hAnsi="Verdana"/>
          <w:color w:val="000000" w:themeColor="text1"/>
          <w:sz w:val="20"/>
          <w:szCs w:val="20"/>
        </w:rPr>
        <w:t xml:space="preserve"> </w:t>
      </w:r>
      <w:r w:rsidR="003F5E83">
        <w:rPr>
          <w:rFonts w:ascii="Verdana" w:hAnsi="Verdana"/>
          <w:color w:val="000000" w:themeColor="text1"/>
          <w:sz w:val="20"/>
          <w:szCs w:val="20"/>
        </w:rPr>
        <w:t>get</w:t>
      </w:r>
      <w:r w:rsidR="00E16AA2">
        <w:rPr>
          <w:rFonts w:ascii="Verdana" w:hAnsi="Verdana"/>
          <w:color w:val="000000" w:themeColor="text1"/>
          <w:sz w:val="20"/>
          <w:szCs w:val="20"/>
        </w:rPr>
        <w:t>s</w:t>
      </w:r>
      <w:r w:rsidR="003F5E83">
        <w:rPr>
          <w:rFonts w:ascii="Verdana" w:hAnsi="Verdana"/>
          <w:color w:val="000000" w:themeColor="text1"/>
          <w:sz w:val="20"/>
          <w:szCs w:val="20"/>
        </w:rPr>
        <w:t xml:space="preserve"> from </w:t>
      </w:r>
      <w:r w:rsidR="00E16AA2">
        <w:rPr>
          <w:rFonts w:ascii="Verdana" w:hAnsi="Verdana"/>
          <w:color w:val="000000" w:themeColor="text1"/>
          <w:sz w:val="20"/>
          <w:szCs w:val="20"/>
        </w:rPr>
        <w:t xml:space="preserve">the </w:t>
      </w:r>
      <w:r w:rsidR="003F5E83">
        <w:rPr>
          <w:rFonts w:ascii="Verdana" w:hAnsi="Verdana"/>
          <w:color w:val="000000" w:themeColor="text1"/>
          <w:sz w:val="20"/>
          <w:szCs w:val="20"/>
        </w:rPr>
        <w:t>acad</w:t>
      </w:r>
      <w:r w:rsidR="00B0191F">
        <w:rPr>
          <w:rFonts w:ascii="Verdana" w:hAnsi="Verdana"/>
          <w:color w:val="000000" w:themeColor="text1"/>
          <w:sz w:val="20"/>
          <w:szCs w:val="20"/>
        </w:rPr>
        <w:t>e</w:t>
      </w:r>
      <w:r w:rsidR="003F5E83">
        <w:rPr>
          <w:rFonts w:ascii="Verdana" w:hAnsi="Verdana"/>
          <w:color w:val="000000" w:themeColor="text1"/>
          <w:sz w:val="20"/>
          <w:szCs w:val="20"/>
        </w:rPr>
        <w:t xml:space="preserve">mics, </w:t>
      </w:r>
      <w:r w:rsidR="004A7C57">
        <w:rPr>
          <w:rFonts w:ascii="Verdana" w:hAnsi="Verdana"/>
          <w:color w:val="000000" w:themeColor="text1"/>
          <w:sz w:val="20"/>
          <w:szCs w:val="20"/>
        </w:rPr>
        <w:t xml:space="preserve">but </w:t>
      </w:r>
      <w:r w:rsidR="003F5E83">
        <w:rPr>
          <w:rFonts w:ascii="Verdana" w:hAnsi="Verdana"/>
          <w:color w:val="000000" w:themeColor="text1"/>
          <w:sz w:val="20"/>
          <w:szCs w:val="20"/>
        </w:rPr>
        <w:t xml:space="preserve">the quality of the </w:t>
      </w:r>
      <w:r w:rsidR="00B0191F">
        <w:rPr>
          <w:rFonts w:ascii="Verdana" w:hAnsi="Verdana"/>
          <w:color w:val="000000" w:themeColor="text1"/>
          <w:sz w:val="20"/>
          <w:szCs w:val="20"/>
        </w:rPr>
        <w:t>campus</w:t>
      </w:r>
      <w:r w:rsidR="003F5E83">
        <w:rPr>
          <w:rFonts w:ascii="Verdana" w:hAnsi="Verdana"/>
          <w:color w:val="000000" w:themeColor="text1"/>
          <w:sz w:val="20"/>
          <w:szCs w:val="20"/>
        </w:rPr>
        <w:t xml:space="preserve"> </w:t>
      </w:r>
      <w:r w:rsidR="008010D2">
        <w:rPr>
          <w:rFonts w:ascii="Verdana" w:hAnsi="Verdana"/>
          <w:color w:val="000000" w:themeColor="text1"/>
          <w:sz w:val="20"/>
          <w:szCs w:val="20"/>
        </w:rPr>
        <w:t>as a learning space and, crucially,</w:t>
      </w:r>
      <w:r w:rsidR="00B0191F">
        <w:rPr>
          <w:rFonts w:ascii="Verdana" w:hAnsi="Verdana"/>
          <w:color w:val="000000" w:themeColor="text1"/>
          <w:sz w:val="20"/>
          <w:szCs w:val="20"/>
        </w:rPr>
        <w:t xml:space="preserve"> the opportunities that students get to work with, and learn from, research-active academics.</w:t>
      </w:r>
      <w:r w:rsidR="00224388">
        <w:rPr>
          <w:rFonts w:ascii="Verdana" w:hAnsi="Verdana"/>
          <w:color w:val="000000" w:themeColor="text1"/>
          <w:sz w:val="20"/>
          <w:szCs w:val="20"/>
        </w:rPr>
        <w:t xml:space="preserve"> </w:t>
      </w:r>
      <w:r w:rsidR="00B321A5">
        <w:rPr>
          <w:rFonts w:ascii="Verdana" w:hAnsi="Verdana"/>
          <w:color w:val="000000" w:themeColor="text1"/>
          <w:sz w:val="20"/>
          <w:szCs w:val="20"/>
        </w:rPr>
        <w:t>Most of all, the quality of the student learning experience is highly dependent on the commitment of the individual student and this is something over which educators have limited control</w:t>
      </w:r>
      <w:r w:rsidR="004A7C57">
        <w:rPr>
          <w:rFonts w:ascii="Verdana" w:hAnsi="Verdana"/>
          <w:color w:val="000000" w:themeColor="text1"/>
          <w:sz w:val="20"/>
          <w:szCs w:val="20"/>
        </w:rPr>
        <w:t xml:space="preserve">; </w:t>
      </w:r>
      <w:r w:rsidR="00B321A5">
        <w:rPr>
          <w:rFonts w:ascii="Verdana" w:hAnsi="Verdana"/>
          <w:color w:val="000000" w:themeColor="text1"/>
          <w:sz w:val="20"/>
          <w:szCs w:val="20"/>
        </w:rPr>
        <w:t xml:space="preserve">wider cultural factors are </w:t>
      </w:r>
      <w:r w:rsidR="00E16AA2">
        <w:rPr>
          <w:rFonts w:ascii="Verdana" w:hAnsi="Verdana"/>
          <w:color w:val="000000" w:themeColor="text1"/>
          <w:sz w:val="20"/>
          <w:szCs w:val="20"/>
        </w:rPr>
        <w:t>extremely</w:t>
      </w:r>
      <w:r w:rsidR="00B321A5">
        <w:rPr>
          <w:rFonts w:ascii="Verdana" w:hAnsi="Verdana"/>
          <w:color w:val="000000" w:themeColor="text1"/>
          <w:sz w:val="20"/>
          <w:szCs w:val="20"/>
        </w:rPr>
        <w:t xml:space="preserve"> important as discussed later.</w:t>
      </w:r>
    </w:p>
    <w:p w:rsidR="00B0191F" w:rsidRDefault="007B5872" w:rsidP="00B6077B">
      <w:pPr>
        <w:pStyle w:val="Heading4"/>
        <w:numPr>
          <w:ilvl w:val="0"/>
          <w:numId w:val="2"/>
        </w:numPr>
        <w:ind w:left="360"/>
      </w:pPr>
      <w:r>
        <w:t>Can we measure teaching quality?</w:t>
      </w:r>
    </w:p>
    <w:p w:rsidR="005F5A29" w:rsidRDefault="007B5872" w:rsidP="005F5A29">
      <w:pPr>
        <w:pStyle w:val="NormalWeb"/>
        <w:shd w:val="clear" w:color="auto" w:fill="FFFFFF"/>
        <w:spacing w:before="0" w:beforeAutospacing="0" w:after="200" w:afterAutospacing="0" w:line="276" w:lineRule="auto"/>
        <w:jc w:val="both"/>
        <w:textAlignment w:val="baseline"/>
        <w:rPr>
          <w:rFonts w:ascii="Verdana" w:hAnsi="Verdana"/>
          <w:color w:val="000000" w:themeColor="text1"/>
          <w:sz w:val="20"/>
          <w:szCs w:val="20"/>
        </w:rPr>
      </w:pPr>
      <w:r>
        <w:rPr>
          <w:rFonts w:ascii="Verdana" w:hAnsi="Verdana"/>
          <w:color w:val="000000" w:themeColor="text1"/>
          <w:sz w:val="20"/>
          <w:szCs w:val="20"/>
        </w:rPr>
        <w:t>The short answer is “not yet”. Good teaching occurs when student</w:t>
      </w:r>
      <w:r w:rsidR="005F5A29">
        <w:rPr>
          <w:rFonts w:ascii="Verdana" w:hAnsi="Verdana"/>
          <w:color w:val="000000" w:themeColor="text1"/>
          <w:sz w:val="20"/>
          <w:szCs w:val="20"/>
        </w:rPr>
        <w:t>s</w:t>
      </w:r>
      <w:r>
        <w:rPr>
          <w:rFonts w:ascii="Verdana" w:hAnsi="Verdana"/>
          <w:color w:val="000000" w:themeColor="text1"/>
          <w:sz w:val="20"/>
          <w:szCs w:val="20"/>
        </w:rPr>
        <w:t xml:space="preserve"> learn well but there are no simple metrics that we can use to asses</w:t>
      </w:r>
      <w:r w:rsidR="00B6077B">
        <w:rPr>
          <w:rFonts w:ascii="Verdana" w:hAnsi="Verdana"/>
          <w:color w:val="000000" w:themeColor="text1"/>
          <w:sz w:val="20"/>
          <w:szCs w:val="20"/>
        </w:rPr>
        <w:t>s</w:t>
      </w:r>
      <w:r>
        <w:rPr>
          <w:rFonts w:ascii="Verdana" w:hAnsi="Verdana"/>
          <w:color w:val="000000" w:themeColor="text1"/>
          <w:sz w:val="20"/>
          <w:szCs w:val="20"/>
        </w:rPr>
        <w:t xml:space="preserve"> learning. We must bear in mind that we do not </w:t>
      </w:r>
      <w:r w:rsidR="00B6077B">
        <w:rPr>
          <w:rFonts w:ascii="Verdana" w:hAnsi="Verdana"/>
          <w:color w:val="000000" w:themeColor="text1"/>
          <w:sz w:val="20"/>
          <w:szCs w:val="20"/>
        </w:rPr>
        <w:t xml:space="preserve">even </w:t>
      </w:r>
      <w:r>
        <w:rPr>
          <w:rFonts w:ascii="Verdana" w:hAnsi="Verdana"/>
          <w:color w:val="000000" w:themeColor="text1"/>
          <w:sz w:val="20"/>
          <w:szCs w:val="20"/>
        </w:rPr>
        <w:t xml:space="preserve">have standardised testing in the third level sector so we are very limited in our ability to make objective assessments as </w:t>
      </w:r>
      <w:r w:rsidR="005B5B73">
        <w:rPr>
          <w:rFonts w:ascii="Verdana" w:hAnsi="Verdana"/>
          <w:color w:val="000000" w:themeColor="text1"/>
          <w:sz w:val="20"/>
          <w:szCs w:val="20"/>
        </w:rPr>
        <w:t xml:space="preserve">to </w:t>
      </w:r>
      <w:r>
        <w:rPr>
          <w:rFonts w:ascii="Verdana" w:hAnsi="Verdana"/>
          <w:color w:val="000000" w:themeColor="text1"/>
          <w:sz w:val="20"/>
          <w:szCs w:val="20"/>
        </w:rPr>
        <w:t xml:space="preserve">how much our individual students have learned. </w:t>
      </w:r>
      <w:r w:rsidR="005F5A29">
        <w:rPr>
          <w:rFonts w:ascii="Verdana" w:hAnsi="Verdana"/>
          <w:color w:val="000000" w:themeColor="text1"/>
          <w:sz w:val="20"/>
          <w:szCs w:val="20"/>
        </w:rPr>
        <w:t>Indeed, it</w:t>
      </w:r>
      <w:r>
        <w:rPr>
          <w:rFonts w:ascii="Verdana" w:hAnsi="Verdana"/>
          <w:color w:val="000000" w:themeColor="text1"/>
          <w:sz w:val="20"/>
          <w:szCs w:val="20"/>
        </w:rPr>
        <w:t xml:space="preserve"> is the </w:t>
      </w:r>
      <w:r w:rsidR="00EE56E5">
        <w:rPr>
          <w:rFonts w:ascii="Verdana" w:hAnsi="Verdana"/>
          <w:color w:val="000000" w:themeColor="text1"/>
          <w:sz w:val="20"/>
          <w:szCs w:val="20"/>
        </w:rPr>
        <w:t>view of</w:t>
      </w:r>
      <w:r>
        <w:rPr>
          <w:rFonts w:ascii="Verdana" w:hAnsi="Verdana"/>
          <w:color w:val="000000" w:themeColor="text1"/>
          <w:sz w:val="20"/>
          <w:szCs w:val="20"/>
        </w:rPr>
        <w:t xml:space="preserve"> this author that the standard within the third level sector is </w:t>
      </w:r>
      <w:r w:rsidR="00EE56E5">
        <w:rPr>
          <w:rFonts w:ascii="Verdana" w:hAnsi="Verdana"/>
          <w:color w:val="000000" w:themeColor="text1"/>
          <w:sz w:val="20"/>
          <w:szCs w:val="20"/>
        </w:rPr>
        <w:t>both variable and fluid, and subject to drift.</w:t>
      </w:r>
      <w:r w:rsidR="00B6077B">
        <w:rPr>
          <w:rFonts w:ascii="Verdana" w:hAnsi="Verdana"/>
          <w:color w:val="000000" w:themeColor="text1"/>
          <w:sz w:val="20"/>
          <w:szCs w:val="20"/>
        </w:rPr>
        <w:t xml:space="preserve"> </w:t>
      </w:r>
    </w:p>
    <w:p w:rsidR="00B6077B" w:rsidRDefault="00B6077B" w:rsidP="005C7D5A">
      <w:pPr>
        <w:pStyle w:val="NormalWeb"/>
        <w:shd w:val="clear" w:color="auto" w:fill="FFFFFF"/>
        <w:spacing w:before="0" w:beforeAutospacing="0" w:after="200" w:afterAutospacing="0" w:line="276" w:lineRule="auto"/>
        <w:jc w:val="both"/>
        <w:textAlignment w:val="baseline"/>
        <w:rPr>
          <w:rFonts w:ascii="Verdana" w:hAnsi="Verdana"/>
          <w:color w:val="000000" w:themeColor="text1"/>
          <w:sz w:val="20"/>
          <w:szCs w:val="20"/>
        </w:rPr>
      </w:pPr>
      <w:r>
        <w:rPr>
          <w:rFonts w:ascii="Verdana" w:hAnsi="Verdana"/>
          <w:color w:val="000000" w:themeColor="text1"/>
          <w:sz w:val="20"/>
          <w:szCs w:val="20"/>
        </w:rPr>
        <w:t xml:space="preserve">Given the difficulties with quantifying learning, we need to be very careful </w:t>
      </w:r>
      <w:r w:rsidR="005F5A29">
        <w:rPr>
          <w:rFonts w:ascii="Verdana" w:hAnsi="Verdana"/>
          <w:color w:val="000000" w:themeColor="text1"/>
          <w:sz w:val="20"/>
          <w:szCs w:val="20"/>
        </w:rPr>
        <w:t>about</w:t>
      </w:r>
      <w:r>
        <w:rPr>
          <w:rFonts w:ascii="Verdana" w:hAnsi="Verdana"/>
          <w:color w:val="000000" w:themeColor="text1"/>
          <w:sz w:val="20"/>
          <w:szCs w:val="20"/>
        </w:rPr>
        <w:t xml:space="preserve"> using proxies like </w:t>
      </w:r>
      <w:r w:rsidRPr="00B6077B">
        <w:rPr>
          <w:rFonts w:ascii="Verdana" w:hAnsi="Verdana"/>
          <w:i/>
          <w:color w:val="000000" w:themeColor="text1"/>
          <w:sz w:val="20"/>
          <w:szCs w:val="20"/>
        </w:rPr>
        <w:t>student engagement</w:t>
      </w:r>
      <w:r>
        <w:rPr>
          <w:rFonts w:ascii="Verdana" w:hAnsi="Verdana"/>
          <w:color w:val="000000" w:themeColor="text1"/>
          <w:sz w:val="20"/>
          <w:szCs w:val="20"/>
        </w:rPr>
        <w:t xml:space="preserve">. Numerous studies have shown that students </w:t>
      </w:r>
      <w:r w:rsidR="00D735D1">
        <w:rPr>
          <w:rFonts w:ascii="Verdana" w:hAnsi="Verdana"/>
          <w:color w:val="000000" w:themeColor="text1"/>
          <w:sz w:val="20"/>
          <w:szCs w:val="20"/>
        </w:rPr>
        <w:t xml:space="preserve">being </w:t>
      </w:r>
      <w:r>
        <w:rPr>
          <w:rFonts w:ascii="Verdana" w:hAnsi="Verdana"/>
          <w:color w:val="000000" w:themeColor="text1"/>
          <w:sz w:val="20"/>
          <w:szCs w:val="20"/>
        </w:rPr>
        <w:t>engaged an</w:t>
      </w:r>
      <w:r w:rsidR="009B7813">
        <w:rPr>
          <w:rFonts w:ascii="Verdana" w:hAnsi="Verdana"/>
          <w:color w:val="000000" w:themeColor="text1"/>
          <w:sz w:val="20"/>
          <w:szCs w:val="20"/>
        </w:rPr>
        <w:t>d enthusiastic in the classroom</w:t>
      </w:r>
      <w:r w:rsidR="00D735D1">
        <w:rPr>
          <w:rFonts w:ascii="Verdana" w:hAnsi="Verdana"/>
          <w:color w:val="000000" w:themeColor="text1"/>
          <w:sz w:val="20"/>
          <w:szCs w:val="20"/>
        </w:rPr>
        <w:t xml:space="preserve"> does not </w:t>
      </w:r>
      <w:r w:rsidR="00A04936">
        <w:rPr>
          <w:rFonts w:ascii="Verdana" w:hAnsi="Verdana"/>
          <w:color w:val="000000" w:themeColor="text1"/>
          <w:sz w:val="20"/>
          <w:szCs w:val="20"/>
        </w:rPr>
        <w:t xml:space="preserve">necessarily </w:t>
      </w:r>
      <w:r w:rsidR="00D735D1">
        <w:rPr>
          <w:rFonts w:ascii="Verdana" w:hAnsi="Verdana"/>
          <w:color w:val="000000" w:themeColor="text1"/>
          <w:sz w:val="20"/>
          <w:szCs w:val="20"/>
        </w:rPr>
        <w:t>equate with effective learning</w:t>
      </w:r>
      <w:r>
        <w:rPr>
          <w:rFonts w:ascii="Verdana" w:hAnsi="Verdana"/>
          <w:color w:val="000000" w:themeColor="text1"/>
          <w:sz w:val="20"/>
          <w:szCs w:val="20"/>
        </w:rPr>
        <w:t>.</w:t>
      </w:r>
      <w:r>
        <w:rPr>
          <w:rStyle w:val="FootnoteReference"/>
          <w:rFonts w:ascii="Verdana" w:hAnsi="Verdana"/>
          <w:color w:val="000000" w:themeColor="text1"/>
          <w:sz w:val="20"/>
          <w:szCs w:val="20"/>
        </w:rPr>
        <w:footnoteReference w:id="7"/>
      </w:r>
      <w:r>
        <w:rPr>
          <w:rFonts w:ascii="Verdana" w:hAnsi="Verdana"/>
          <w:color w:val="000000" w:themeColor="text1"/>
          <w:sz w:val="20"/>
          <w:szCs w:val="20"/>
        </w:rPr>
        <w:t xml:space="preserve"> Most of all, we need to be extremely careful </w:t>
      </w:r>
      <w:r w:rsidR="00522E29">
        <w:rPr>
          <w:rFonts w:ascii="Verdana" w:hAnsi="Verdana"/>
          <w:color w:val="000000" w:themeColor="text1"/>
          <w:sz w:val="20"/>
          <w:szCs w:val="20"/>
        </w:rPr>
        <w:t xml:space="preserve">not to </w:t>
      </w:r>
      <w:r>
        <w:rPr>
          <w:rFonts w:ascii="Verdana" w:hAnsi="Verdana"/>
          <w:color w:val="000000" w:themeColor="text1"/>
          <w:sz w:val="20"/>
          <w:szCs w:val="20"/>
        </w:rPr>
        <w:t>equat</w:t>
      </w:r>
      <w:r w:rsidR="00522E29">
        <w:rPr>
          <w:rFonts w:ascii="Verdana" w:hAnsi="Verdana"/>
          <w:color w:val="000000" w:themeColor="text1"/>
          <w:sz w:val="20"/>
          <w:szCs w:val="20"/>
        </w:rPr>
        <w:t>e</w:t>
      </w:r>
      <w:r>
        <w:rPr>
          <w:rFonts w:ascii="Verdana" w:hAnsi="Verdana"/>
          <w:color w:val="000000" w:themeColor="text1"/>
          <w:sz w:val="20"/>
          <w:szCs w:val="20"/>
        </w:rPr>
        <w:t xml:space="preserve"> innovation with quality and not </w:t>
      </w:r>
      <w:r w:rsidR="00522E29">
        <w:rPr>
          <w:rFonts w:ascii="Verdana" w:hAnsi="Verdana"/>
          <w:color w:val="000000" w:themeColor="text1"/>
          <w:sz w:val="20"/>
          <w:szCs w:val="20"/>
        </w:rPr>
        <w:t xml:space="preserve">to </w:t>
      </w:r>
      <w:r>
        <w:rPr>
          <w:rFonts w:ascii="Verdana" w:hAnsi="Verdana"/>
          <w:color w:val="000000" w:themeColor="text1"/>
          <w:sz w:val="20"/>
          <w:szCs w:val="20"/>
        </w:rPr>
        <w:t>let ideology</w:t>
      </w:r>
      <w:r w:rsidR="005F5A29">
        <w:rPr>
          <w:rFonts w:ascii="Verdana" w:hAnsi="Verdana"/>
          <w:color w:val="000000" w:themeColor="text1"/>
          <w:sz w:val="20"/>
          <w:szCs w:val="20"/>
        </w:rPr>
        <w:t xml:space="preserve"> dominate how we assess teaching, something that has dogged the assessment of teaching by </w:t>
      </w:r>
      <w:proofErr w:type="spellStart"/>
      <w:r w:rsidR="005F5A29">
        <w:rPr>
          <w:rFonts w:ascii="Verdana" w:hAnsi="Verdana"/>
          <w:color w:val="000000" w:themeColor="text1"/>
          <w:sz w:val="20"/>
          <w:szCs w:val="20"/>
        </w:rPr>
        <w:t>Ofsted</w:t>
      </w:r>
      <w:proofErr w:type="spellEnd"/>
      <w:r w:rsidR="005F5A29">
        <w:rPr>
          <w:rFonts w:ascii="Verdana" w:hAnsi="Verdana"/>
          <w:color w:val="000000" w:themeColor="text1"/>
          <w:sz w:val="20"/>
          <w:szCs w:val="20"/>
        </w:rPr>
        <w:t xml:space="preserve"> in the UK.</w:t>
      </w:r>
      <w:r w:rsidR="008726A4">
        <w:rPr>
          <w:rStyle w:val="FootnoteReference"/>
          <w:rFonts w:ascii="Verdana" w:hAnsi="Verdana"/>
          <w:color w:val="000000" w:themeColor="text1"/>
          <w:sz w:val="20"/>
          <w:szCs w:val="20"/>
        </w:rPr>
        <w:footnoteReference w:id="8"/>
      </w:r>
    </w:p>
    <w:p w:rsidR="005C7D5A" w:rsidRDefault="005C7D5A" w:rsidP="007B5872">
      <w:pPr>
        <w:pStyle w:val="NormalWeb"/>
        <w:shd w:val="clear" w:color="auto" w:fill="FFFFFF"/>
        <w:spacing w:before="0" w:beforeAutospacing="0" w:after="360" w:afterAutospacing="0" w:line="276" w:lineRule="auto"/>
        <w:jc w:val="both"/>
        <w:textAlignment w:val="baseline"/>
        <w:rPr>
          <w:rFonts w:ascii="Verdana" w:hAnsi="Verdana"/>
          <w:color w:val="000000" w:themeColor="text1"/>
          <w:sz w:val="20"/>
          <w:szCs w:val="20"/>
        </w:rPr>
      </w:pPr>
      <w:r>
        <w:rPr>
          <w:rFonts w:ascii="Verdana" w:hAnsi="Verdana"/>
          <w:color w:val="000000" w:themeColor="text1"/>
          <w:sz w:val="20"/>
          <w:szCs w:val="20"/>
        </w:rPr>
        <w:t>In passing</w:t>
      </w:r>
      <w:r w:rsidR="004A7C57">
        <w:rPr>
          <w:rFonts w:ascii="Verdana" w:hAnsi="Verdana"/>
          <w:color w:val="000000" w:themeColor="text1"/>
          <w:sz w:val="20"/>
          <w:szCs w:val="20"/>
        </w:rPr>
        <w:t>,</w:t>
      </w:r>
      <w:r>
        <w:rPr>
          <w:rFonts w:ascii="Verdana" w:hAnsi="Verdana"/>
          <w:color w:val="000000" w:themeColor="text1"/>
          <w:sz w:val="20"/>
          <w:szCs w:val="20"/>
        </w:rPr>
        <w:t xml:space="preserve"> it is worth nothing that there is a widespread sense in academic circles that teaching quality, despite what the application forms might imply, is not valued in the promotion race. In the view of this author, the innate difficulties associated with evaluating student learning are at the heart of this problem. If we </w:t>
      </w:r>
      <w:r w:rsidR="00C67E03">
        <w:rPr>
          <w:rFonts w:ascii="Verdana" w:hAnsi="Verdana"/>
          <w:color w:val="000000" w:themeColor="text1"/>
          <w:sz w:val="20"/>
          <w:szCs w:val="20"/>
        </w:rPr>
        <w:t xml:space="preserve">were to discover </w:t>
      </w:r>
      <w:r w:rsidR="00A04936">
        <w:rPr>
          <w:rFonts w:ascii="Verdana" w:hAnsi="Verdana"/>
          <w:color w:val="000000" w:themeColor="text1"/>
          <w:sz w:val="20"/>
          <w:szCs w:val="20"/>
        </w:rPr>
        <w:t xml:space="preserve">or create </w:t>
      </w:r>
      <w:r w:rsidR="00C67E03">
        <w:rPr>
          <w:rFonts w:ascii="Verdana" w:hAnsi="Verdana"/>
          <w:color w:val="000000" w:themeColor="text1"/>
          <w:sz w:val="20"/>
          <w:szCs w:val="20"/>
        </w:rPr>
        <w:t>learning</w:t>
      </w:r>
      <w:r>
        <w:rPr>
          <w:rFonts w:ascii="Verdana" w:hAnsi="Verdana"/>
          <w:color w:val="000000" w:themeColor="text1"/>
          <w:sz w:val="20"/>
          <w:szCs w:val="20"/>
        </w:rPr>
        <w:t xml:space="preserve"> metrics </w:t>
      </w:r>
      <w:r w:rsidR="004A7C57">
        <w:rPr>
          <w:rFonts w:ascii="Verdana" w:hAnsi="Verdana"/>
          <w:color w:val="000000" w:themeColor="text1"/>
          <w:sz w:val="20"/>
          <w:szCs w:val="20"/>
        </w:rPr>
        <w:t>analogous to those</w:t>
      </w:r>
      <w:r>
        <w:rPr>
          <w:rFonts w:ascii="Verdana" w:hAnsi="Verdana"/>
          <w:color w:val="000000" w:themeColor="text1"/>
          <w:sz w:val="20"/>
          <w:szCs w:val="20"/>
        </w:rPr>
        <w:t xml:space="preserve"> we have for research, we might get to a situation where </w:t>
      </w:r>
      <w:r>
        <w:rPr>
          <w:rFonts w:ascii="Verdana" w:hAnsi="Verdana"/>
          <w:color w:val="000000" w:themeColor="text1"/>
          <w:sz w:val="20"/>
          <w:szCs w:val="20"/>
        </w:rPr>
        <w:lastRenderedPageBreak/>
        <w:t>promotion committees did not have to rely on research metrics as the tie-breaker in a highly competitive process.</w:t>
      </w:r>
      <w:r w:rsidR="00CD1411">
        <w:rPr>
          <w:rFonts w:ascii="Verdana" w:hAnsi="Verdana"/>
          <w:color w:val="000000" w:themeColor="text1"/>
          <w:sz w:val="20"/>
          <w:szCs w:val="20"/>
        </w:rPr>
        <w:t xml:space="preserve"> </w:t>
      </w:r>
      <w:r w:rsidR="00522E29">
        <w:rPr>
          <w:rFonts w:ascii="Verdana" w:hAnsi="Verdana"/>
          <w:color w:val="000000" w:themeColor="text1"/>
          <w:sz w:val="20"/>
          <w:szCs w:val="20"/>
        </w:rPr>
        <w:t>Relying on research metrics is a case of picking the ‘low hanging fruit’ and t</w:t>
      </w:r>
      <w:r w:rsidR="00CD1411">
        <w:rPr>
          <w:rFonts w:ascii="Verdana" w:hAnsi="Verdana"/>
          <w:color w:val="000000" w:themeColor="text1"/>
          <w:sz w:val="20"/>
          <w:szCs w:val="20"/>
        </w:rPr>
        <w:t>here are no easy solutions here.</w:t>
      </w:r>
    </w:p>
    <w:p w:rsidR="002834A6" w:rsidRPr="00C36EE1" w:rsidRDefault="00542A6E" w:rsidP="002D6A0E">
      <w:pPr>
        <w:pStyle w:val="Heading4"/>
        <w:numPr>
          <w:ilvl w:val="0"/>
          <w:numId w:val="2"/>
        </w:numPr>
        <w:ind w:left="360"/>
      </w:pPr>
      <w:r w:rsidRPr="00C36EE1">
        <w:t>Is T&amp;L suffering due to the cuts in funding to Higher Education</w:t>
      </w:r>
    </w:p>
    <w:p w:rsidR="001B2AB9" w:rsidRDefault="00777D16" w:rsidP="009213B0">
      <w:pPr>
        <w:pStyle w:val="NormalWeb"/>
        <w:shd w:val="clear" w:color="auto" w:fill="FFFFFF"/>
        <w:spacing w:before="0" w:beforeAutospacing="0" w:after="360" w:afterAutospacing="0" w:line="276" w:lineRule="auto"/>
        <w:jc w:val="both"/>
        <w:textAlignment w:val="baseline"/>
        <w:rPr>
          <w:rFonts w:ascii="Verdana" w:hAnsi="Verdana"/>
          <w:color w:val="000000" w:themeColor="text1"/>
          <w:sz w:val="20"/>
          <w:szCs w:val="20"/>
        </w:rPr>
      </w:pPr>
      <w:r>
        <w:rPr>
          <w:rFonts w:ascii="Verdana" w:hAnsi="Verdana"/>
          <w:color w:val="000000" w:themeColor="text1"/>
          <w:sz w:val="20"/>
          <w:szCs w:val="20"/>
        </w:rPr>
        <w:t xml:space="preserve">The short </w:t>
      </w:r>
      <w:r w:rsidR="002D6A0E">
        <w:rPr>
          <w:rFonts w:ascii="Verdana" w:hAnsi="Verdana"/>
          <w:color w:val="000000" w:themeColor="text1"/>
          <w:sz w:val="20"/>
          <w:szCs w:val="20"/>
        </w:rPr>
        <w:t xml:space="preserve">and worrying </w:t>
      </w:r>
      <w:r>
        <w:rPr>
          <w:rFonts w:ascii="Verdana" w:hAnsi="Verdana"/>
          <w:color w:val="000000" w:themeColor="text1"/>
          <w:sz w:val="20"/>
          <w:szCs w:val="20"/>
        </w:rPr>
        <w:t xml:space="preserve">answer is </w:t>
      </w:r>
      <w:r w:rsidR="00C36EE1">
        <w:rPr>
          <w:rFonts w:ascii="Verdana" w:hAnsi="Verdana"/>
          <w:color w:val="000000" w:themeColor="text1"/>
          <w:sz w:val="20"/>
          <w:szCs w:val="20"/>
        </w:rPr>
        <w:t>“</w:t>
      </w:r>
      <w:r>
        <w:rPr>
          <w:rFonts w:ascii="Verdana" w:hAnsi="Verdana"/>
          <w:color w:val="000000" w:themeColor="text1"/>
          <w:sz w:val="20"/>
          <w:szCs w:val="20"/>
        </w:rPr>
        <w:t>yes</w:t>
      </w:r>
      <w:r w:rsidR="00C36EE1">
        <w:rPr>
          <w:rFonts w:ascii="Verdana" w:hAnsi="Verdana"/>
          <w:color w:val="000000" w:themeColor="text1"/>
          <w:sz w:val="20"/>
          <w:szCs w:val="20"/>
        </w:rPr>
        <w:t>”</w:t>
      </w:r>
      <w:r w:rsidR="00352ECA">
        <w:rPr>
          <w:rFonts w:ascii="Verdana" w:hAnsi="Verdana"/>
          <w:color w:val="000000" w:themeColor="text1"/>
          <w:sz w:val="20"/>
          <w:szCs w:val="20"/>
        </w:rPr>
        <w:t xml:space="preserve">. </w:t>
      </w:r>
      <w:r>
        <w:rPr>
          <w:rFonts w:ascii="Verdana" w:hAnsi="Verdana"/>
          <w:color w:val="000000" w:themeColor="text1"/>
          <w:sz w:val="20"/>
          <w:szCs w:val="20"/>
        </w:rPr>
        <w:t>The table below gives a few examples of the ongoing process of ‘death by a thousand cuts’.</w:t>
      </w:r>
    </w:p>
    <w:p w:rsidR="00C36EE1" w:rsidRPr="00E87B67" w:rsidRDefault="00C36EE1" w:rsidP="00C36EE1">
      <w:pPr>
        <w:pStyle w:val="Heading4"/>
        <w:rPr>
          <w:rFonts w:ascii="Verdana" w:hAnsi="Verdana"/>
          <w:sz w:val="20"/>
          <w:szCs w:val="20"/>
        </w:rPr>
      </w:pPr>
      <w:r w:rsidRPr="00E87B67">
        <w:rPr>
          <w:rFonts w:ascii="Verdana" w:hAnsi="Verdana"/>
          <w:sz w:val="20"/>
          <w:szCs w:val="20"/>
        </w:rPr>
        <w:t xml:space="preserve">Table 1 </w:t>
      </w:r>
      <w:proofErr w:type="gramStart"/>
      <w:r w:rsidR="00E87B67" w:rsidRPr="00E87B67">
        <w:rPr>
          <w:rFonts w:ascii="Verdana" w:hAnsi="Verdana"/>
          <w:sz w:val="20"/>
          <w:szCs w:val="20"/>
        </w:rPr>
        <w:t>Some</w:t>
      </w:r>
      <w:proofErr w:type="gramEnd"/>
      <w:r w:rsidR="00E87B67" w:rsidRPr="00E87B67">
        <w:rPr>
          <w:rFonts w:ascii="Verdana" w:hAnsi="Verdana"/>
          <w:sz w:val="20"/>
          <w:szCs w:val="20"/>
        </w:rPr>
        <w:t xml:space="preserve"> </w:t>
      </w:r>
      <w:r w:rsidRPr="00E87B67">
        <w:rPr>
          <w:rFonts w:ascii="Verdana" w:hAnsi="Verdana"/>
          <w:sz w:val="20"/>
          <w:szCs w:val="20"/>
        </w:rPr>
        <w:t>effect</w:t>
      </w:r>
      <w:r w:rsidR="00E87B67" w:rsidRPr="00E87B67">
        <w:rPr>
          <w:rFonts w:ascii="Verdana" w:hAnsi="Verdana"/>
          <w:sz w:val="20"/>
          <w:szCs w:val="20"/>
        </w:rPr>
        <w:t>s</w:t>
      </w:r>
      <w:r w:rsidRPr="00E87B67">
        <w:rPr>
          <w:rFonts w:ascii="Verdana" w:hAnsi="Verdana"/>
          <w:sz w:val="20"/>
          <w:szCs w:val="20"/>
        </w:rPr>
        <w:t xml:space="preserve"> of cuts on teaching quality</w:t>
      </w:r>
    </w:p>
    <w:tbl>
      <w:tblPr>
        <w:tblStyle w:val="TableGrid"/>
        <w:tblW w:w="0" w:type="auto"/>
        <w:tblLook w:val="04A0" w:firstRow="1" w:lastRow="0" w:firstColumn="1" w:lastColumn="0" w:noHBand="0" w:noVBand="1"/>
      </w:tblPr>
      <w:tblGrid>
        <w:gridCol w:w="9576"/>
      </w:tblGrid>
      <w:tr w:rsidR="00C36EE1" w:rsidTr="00C36EE1">
        <w:tc>
          <w:tcPr>
            <w:tcW w:w="9576" w:type="dxa"/>
          </w:tcPr>
          <w:p w:rsidR="00C36EE1" w:rsidRPr="001B2AB9" w:rsidRDefault="00C36EE1" w:rsidP="005B5B73">
            <w:pPr>
              <w:numPr>
                <w:ilvl w:val="0"/>
                <w:numId w:val="3"/>
              </w:numPr>
              <w:ind w:left="360"/>
              <w:jc w:val="both"/>
              <w:textAlignment w:val="baseline"/>
              <w:rPr>
                <w:rFonts w:ascii="Verdana" w:eastAsia="Times New Roman" w:hAnsi="Verdana" w:cs="Times New Roman"/>
                <w:color w:val="000000" w:themeColor="text1"/>
                <w:position w:val="0"/>
                <w:sz w:val="20"/>
                <w:szCs w:val="20"/>
              </w:rPr>
            </w:pPr>
            <w:r w:rsidRPr="001B2AB9">
              <w:rPr>
                <w:rFonts w:ascii="Verdana" w:eastAsia="Times New Roman" w:hAnsi="Verdana" w:cs="Times New Roman"/>
                <w:color w:val="000000" w:themeColor="text1"/>
                <w:position w:val="0"/>
                <w:sz w:val="20"/>
                <w:szCs w:val="20"/>
              </w:rPr>
              <w:t>Lecturers over-teaching to the point where they become stale and uninspiring and operating at far less than 100% of their ability</w:t>
            </w:r>
          </w:p>
          <w:p w:rsidR="00C36EE1" w:rsidRPr="001B2AB9" w:rsidRDefault="00C36EE1" w:rsidP="005B5B73">
            <w:pPr>
              <w:numPr>
                <w:ilvl w:val="0"/>
                <w:numId w:val="3"/>
              </w:numPr>
              <w:ind w:left="360"/>
              <w:jc w:val="both"/>
              <w:textAlignment w:val="baseline"/>
              <w:rPr>
                <w:rFonts w:ascii="Verdana" w:eastAsia="Times New Roman" w:hAnsi="Verdana" w:cs="Times New Roman"/>
                <w:color w:val="000000" w:themeColor="text1"/>
                <w:position w:val="0"/>
                <w:sz w:val="20"/>
                <w:szCs w:val="20"/>
              </w:rPr>
            </w:pPr>
            <w:r w:rsidRPr="001B2AB9">
              <w:rPr>
                <w:rFonts w:ascii="Verdana" w:eastAsia="Times New Roman" w:hAnsi="Verdana" w:cs="Times New Roman"/>
                <w:color w:val="000000" w:themeColor="text1"/>
                <w:position w:val="0"/>
                <w:sz w:val="20"/>
                <w:szCs w:val="20"/>
              </w:rPr>
              <w:t>Lecturers teaching subjects outside their area of expertise</w:t>
            </w:r>
          </w:p>
          <w:p w:rsidR="00C36EE1" w:rsidRPr="001B2AB9" w:rsidRDefault="00C36EE1" w:rsidP="005B5B73">
            <w:pPr>
              <w:numPr>
                <w:ilvl w:val="0"/>
                <w:numId w:val="3"/>
              </w:numPr>
              <w:ind w:left="360"/>
              <w:jc w:val="both"/>
              <w:textAlignment w:val="baseline"/>
              <w:rPr>
                <w:rFonts w:ascii="Verdana" w:eastAsia="Times New Roman" w:hAnsi="Verdana" w:cs="Times New Roman"/>
                <w:color w:val="000000" w:themeColor="text1"/>
                <w:position w:val="0"/>
                <w:sz w:val="20"/>
                <w:szCs w:val="20"/>
              </w:rPr>
            </w:pPr>
            <w:r w:rsidRPr="001B2AB9">
              <w:rPr>
                <w:rFonts w:ascii="Verdana" w:eastAsia="Times New Roman" w:hAnsi="Verdana" w:cs="Times New Roman"/>
                <w:color w:val="000000" w:themeColor="text1"/>
                <w:position w:val="0"/>
                <w:sz w:val="20"/>
                <w:szCs w:val="20"/>
              </w:rPr>
              <w:t>Increased reliance on part-time adjuncts who, while highly knowledg</w:t>
            </w:r>
            <w:r w:rsidR="00352ECA">
              <w:rPr>
                <w:rFonts w:ascii="Verdana" w:eastAsia="Times New Roman" w:hAnsi="Verdana" w:cs="Times New Roman"/>
                <w:color w:val="000000" w:themeColor="text1"/>
                <w:position w:val="0"/>
                <w:sz w:val="20"/>
                <w:szCs w:val="20"/>
              </w:rPr>
              <w:t>e</w:t>
            </w:r>
            <w:r w:rsidRPr="001B2AB9">
              <w:rPr>
                <w:rFonts w:ascii="Verdana" w:eastAsia="Times New Roman" w:hAnsi="Verdana" w:cs="Times New Roman"/>
                <w:color w:val="000000" w:themeColor="text1"/>
                <w:position w:val="0"/>
                <w:sz w:val="20"/>
                <w:szCs w:val="20"/>
              </w:rPr>
              <w:t>able and valuable in their own way, often cannot teach to a schedule that is student-friendly</w:t>
            </w:r>
          </w:p>
          <w:p w:rsidR="00C36EE1" w:rsidRPr="001B2AB9" w:rsidRDefault="00C36EE1" w:rsidP="005B5B73">
            <w:pPr>
              <w:numPr>
                <w:ilvl w:val="0"/>
                <w:numId w:val="3"/>
              </w:numPr>
              <w:ind w:left="360"/>
              <w:jc w:val="both"/>
              <w:textAlignment w:val="baseline"/>
              <w:rPr>
                <w:rFonts w:ascii="Verdana" w:eastAsia="Times New Roman" w:hAnsi="Verdana" w:cs="Times New Roman"/>
                <w:color w:val="000000" w:themeColor="text1"/>
                <w:position w:val="0"/>
                <w:sz w:val="20"/>
                <w:szCs w:val="20"/>
              </w:rPr>
            </w:pPr>
            <w:r w:rsidRPr="001B2AB9">
              <w:rPr>
                <w:rFonts w:ascii="Verdana" w:eastAsia="Times New Roman" w:hAnsi="Verdana" w:cs="Times New Roman"/>
                <w:color w:val="000000" w:themeColor="text1"/>
                <w:position w:val="0"/>
                <w:sz w:val="20"/>
                <w:szCs w:val="20"/>
              </w:rPr>
              <w:t>A curtailment of opportunities to do meaningful final-year research projects</w:t>
            </w:r>
          </w:p>
          <w:p w:rsidR="00C36EE1" w:rsidRPr="001B2AB9" w:rsidRDefault="00C36EE1" w:rsidP="005B5B73">
            <w:pPr>
              <w:numPr>
                <w:ilvl w:val="0"/>
                <w:numId w:val="3"/>
              </w:numPr>
              <w:ind w:left="360"/>
              <w:jc w:val="both"/>
              <w:textAlignment w:val="baseline"/>
              <w:rPr>
                <w:rFonts w:ascii="Verdana" w:eastAsia="Times New Roman" w:hAnsi="Verdana" w:cs="Times New Roman"/>
                <w:color w:val="000000" w:themeColor="text1"/>
                <w:position w:val="0"/>
                <w:sz w:val="20"/>
                <w:szCs w:val="20"/>
              </w:rPr>
            </w:pPr>
            <w:r w:rsidRPr="001B2AB9">
              <w:rPr>
                <w:rFonts w:ascii="Verdana" w:eastAsia="Times New Roman" w:hAnsi="Verdana" w:cs="Times New Roman"/>
                <w:color w:val="000000" w:themeColor="text1"/>
                <w:position w:val="0"/>
                <w:sz w:val="20"/>
                <w:szCs w:val="20"/>
              </w:rPr>
              <w:t>Crude, automated methods of assessment (think multiple choice) being used to cope with huge class sizes</w:t>
            </w:r>
          </w:p>
          <w:p w:rsidR="00C36EE1" w:rsidRPr="001B2AB9" w:rsidRDefault="00C36EE1" w:rsidP="005B5B73">
            <w:pPr>
              <w:numPr>
                <w:ilvl w:val="0"/>
                <w:numId w:val="3"/>
              </w:numPr>
              <w:ind w:left="360"/>
              <w:jc w:val="both"/>
              <w:textAlignment w:val="baseline"/>
              <w:rPr>
                <w:rFonts w:ascii="Verdana" w:eastAsia="Times New Roman" w:hAnsi="Verdana" w:cs="Times New Roman"/>
                <w:color w:val="000000" w:themeColor="text1"/>
                <w:position w:val="0"/>
                <w:sz w:val="20"/>
                <w:szCs w:val="20"/>
              </w:rPr>
            </w:pPr>
            <w:r w:rsidRPr="001B2AB9">
              <w:rPr>
                <w:rFonts w:ascii="Verdana" w:eastAsia="Times New Roman" w:hAnsi="Verdana" w:cs="Times New Roman"/>
                <w:color w:val="000000" w:themeColor="text1"/>
                <w:position w:val="0"/>
                <w:sz w:val="20"/>
                <w:szCs w:val="20"/>
              </w:rPr>
              <w:t>A general reduction in contact time not because it is pedagogically appropriate but because it makes teaching loads manageable (so-called ‘smarter teaching’)</w:t>
            </w:r>
          </w:p>
          <w:p w:rsidR="00C36EE1" w:rsidRDefault="00C36EE1" w:rsidP="005B5B73">
            <w:pPr>
              <w:numPr>
                <w:ilvl w:val="0"/>
                <w:numId w:val="3"/>
              </w:numPr>
              <w:ind w:left="360"/>
              <w:jc w:val="both"/>
              <w:textAlignment w:val="baseline"/>
              <w:rPr>
                <w:rFonts w:ascii="Verdana" w:eastAsia="Times New Roman" w:hAnsi="Verdana" w:cs="Times New Roman"/>
                <w:color w:val="000000" w:themeColor="text1"/>
                <w:position w:val="0"/>
                <w:sz w:val="20"/>
                <w:szCs w:val="20"/>
              </w:rPr>
            </w:pPr>
            <w:r w:rsidRPr="001B2AB9">
              <w:rPr>
                <w:rFonts w:ascii="Verdana" w:eastAsia="Times New Roman" w:hAnsi="Verdana" w:cs="Times New Roman"/>
                <w:color w:val="000000" w:themeColor="text1"/>
                <w:position w:val="0"/>
                <w:sz w:val="20"/>
                <w:szCs w:val="20"/>
              </w:rPr>
              <w:t>A reduction in time available to develop innovative and potentially better ways of content delivery</w:t>
            </w:r>
          </w:p>
          <w:p w:rsidR="00CD1411" w:rsidRPr="001B2AB9" w:rsidRDefault="00CD1411" w:rsidP="005B5B73">
            <w:pPr>
              <w:numPr>
                <w:ilvl w:val="0"/>
                <w:numId w:val="3"/>
              </w:numPr>
              <w:ind w:left="360"/>
              <w:jc w:val="both"/>
              <w:textAlignment w:val="baseline"/>
              <w:rPr>
                <w:rFonts w:ascii="Verdana" w:eastAsia="Times New Roman" w:hAnsi="Verdana" w:cs="Times New Roman"/>
                <w:color w:val="000000" w:themeColor="text1"/>
                <w:position w:val="0"/>
                <w:sz w:val="20"/>
                <w:szCs w:val="20"/>
              </w:rPr>
            </w:pPr>
            <w:r>
              <w:rPr>
                <w:rFonts w:ascii="Verdana" w:eastAsia="Times New Roman" w:hAnsi="Verdana" w:cs="Times New Roman"/>
                <w:color w:val="000000" w:themeColor="text1"/>
                <w:position w:val="0"/>
                <w:sz w:val="20"/>
                <w:szCs w:val="20"/>
              </w:rPr>
              <w:t>Class sizes that are so big that there is little or no opportunity for innovation</w:t>
            </w:r>
          </w:p>
          <w:p w:rsidR="00C36EE1" w:rsidRPr="001B2AB9" w:rsidRDefault="00C36EE1" w:rsidP="005B5B73">
            <w:pPr>
              <w:numPr>
                <w:ilvl w:val="0"/>
                <w:numId w:val="3"/>
              </w:numPr>
              <w:ind w:left="360"/>
              <w:jc w:val="both"/>
              <w:textAlignment w:val="baseline"/>
              <w:rPr>
                <w:rFonts w:ascii="Verdana" w:eastAsia="Times New Roman" w:hAnsi="Verdana" w:cs="Times New Roman"/>
                <w:color w:val="000000" w:themeColor="text1"/>
                <w:position w:val="0"/>
                <w:sz w:val="20"/>
                <w:szCs w:val="20"/>
              </w:rPr>
            </w:pPr>
            <w:r w:rsidRPr="001B2AB9">
              <w:rPr>
                <w:rFonts w:ascii="Verdana" w:eastAsia="Times New Roman" w:hAnsi="Verdana" w:cs="Times New Roman"/>
                <w:color w:val="000000" w:themeColor="text1"/>
                <w:position w:val="0"/>
                <w:sz w:val="20"/>
                <w:szCs w:val="20"/>
              </w:rPr>
              <w:t>Student-unfriendly timetabling of lectures due to severe logistical constraints caused by lack of space and high teaching loads</w:t>
            </w:r>
          </w:p>
          <w:p w:rsidR="00C36EE1" w:rsidRPr="00CB5FC9" w:rsidRDefault="00C36EE1" w:rsidP="000734D7">
            <w:pPr>
              <w:numPr>
                <w:ilvl w:val="0"/>
                <w:numId w:val="3"/>
              </w:numPr>
              <w:ind w:left="360"/>
              <w:jc w:val="both"/>
              <w:textAlignment w:val="baseline"/>
              <w:rPr>
                <w:rFonts w:ascii="Verdana" w:eastAsia="Times New Roman" w:hAnsi="Verdana" w:cs="Times New Roman"/>
                <w:color w:val="000000" w:themeColor="text1"/>
                <w:position w:val="0"/>
                <w:sz w:val="20"/>
                <w:szCs w:val="20"/>
              </w:rPr>
            </w:pPr>
            <w:r w:rsidRPr="001B2AB9">
              <w:rPr>
                <w:rFonts w:ascii="Verdana" w:eastAsia="Times New Roman" w:hAnsi="Verdana" w:cs="Times New Roman"/>
                <w:color w:val="000000" w:themeColor="text1"/>
                <w:position w:val="0"/>
                <w:sz w:val="20"/>
                <w:szCs w:val="20"/>
              </w:rPr>
              <w:t xml:space="preserve">Inability to offer genuine choice to students </w:t>
            </w:r>
            <w:r w:rsidR="000734D7">
              <w:rPr>
                <w:rFonts w:ascii="Verdana" w:eastAsia="Times New Roman" w:hAnsi="Verdana" w:cs="Times New Roman"/>
                <w:color w:val="000000" w:themeColor="text1"/>
                <w:position w:val="0"/>
                <w:sz w:val="20"/>
                <w:szCs w:val="20"/>
              </w:rPr>
              <w:t>because of</w:t>
            </w:r>
            <w:r w:rsidRPr="001B2AB9">
              <w:rPr>
                <w:rFonts w:ascii="Verdana" w:eastAsia="Times New Roman" w:hAnsi="Verdana" w:cs="Times New Roman"/>
                <w:color w:val="000000" w:themeColor="text1"/>
                <w:position w:val="0"/>
                <w:sz w:val="20"/>
                <w:szCs w:val="20"/>
              </w:rPr>
              <w:t xml:space="preserve"> logistical constraints.</w:t>
            </w:r>
          </w:p>
        </w:tc>
      </w:tr>
    </w:tbl>
    <w:p w:rsidR="00777D16" w:rsidRDefault="00777D16" w:rsidP="009213B0">
      <w:pPr>
        <w:pStyle w:val="NormalWeb"/>
        <w:shd w:val="clear" w:color="auto" w:fill="FFFFFF"/>
        <w:spacing w:before="0" w:beforeAutospacing="0" w:after="360" w:afterAutospacing="0" w:line="276" w:lineRule="auto"/>
        <w:jc w:val="both"/>
        <w:textAlignment w:val="baseline"/>
        <w:rPr>
          <w:rFonts w:ascii="Verdana" w:hAnsi="Verdana"/>
          <w:color w:val="000000" w:themeColor="text1"/>
          <w:sz w:val="20"/>
          <w:szCs w:val="20"/>
        </w:rPr>
      </w:pPr>
    </w:p>
    <w:p w:rsidR="009213B0" w:rsidRDefault="00651C95" w:rsidP="005F5A29">
      <w:pPr>
        <w:pStyle w:val="Heading4"/>
        <w:numPr>
          <w:ilvl w:val="0"/>
          <w:numId w:val="2"/>
        </w:numPr>
        <w:ind w:left="360"/>
      </w:pPr>
      <w:r>
        <w:t xml:space="preserve">Is there a </w:t>
      </w:r>
      <w:r w:rsidR="005F5A29">
        <w:t>particular</w:t>
      </w:r>
      <w:r>
        <w:t xml:space="preserve"> challenge with maintaining </w:t>
      </w:r>
      <w:r w:rsidR="001B2AB9">
        <w:t>T&amp;L</w:t>
      </w:r>
      <w:r>
        <w:t xml:space="preserve"> </w:t>
      </w:r>
      <w:r w:rsidR="005F5A29">
        <w:t>q</w:t>
      </w:r>
      <w:r>
        <w:t xml:space="preserve">uality </w:t>
      </w:r>
      <w:r w:rsidR="0040440D">
        <w:t>in STEM</w:t>
      </w:r>
      <w:r>
        <w:t xml:space="preserve"> </w:t>
      </w:r>
      <w:r w:rsidR="001B2AB9">
        <w:t>disciplines</w:t>
      </w:r>
      <w:r>
        <w:t>?</w:t>
      </w:r>
    </w:p>
    <w:p w:rsidR="0040440D" w:rsidRDefault="00651C95" w:rsidP="00D61C44">
      <w:pPr>
        <w:jc w:val="both"/>
        <w:rPr>
          <w:rFonts w:ascii="Verdana" w:hAnsi="Verdana"/>
          <w:sz w:val="20"/>
          <w:szCs w:val="20"/>
          <w:lang w:val="en-IE"/>
        </w:rPr>
      </w:pPr>
      <w:r w:rsidRPr="005F5A29">
        <w:rPr>
          <w:rFonts w:ascii="Verdana" w:hAnsi="Verdana"/>
          <w:sz w:val="20"/>
          <w:szCs w:val="20"/>
        </w:rPr>
        <w:t xml:space="preserve">There most definitely is. </w:t>
      </w:r>
      <w:r w:rsidR="009213B0" w:rsidRPr="005F5A29">
        <w:rPr>
          <w:rFonts w:ascii="Verdana" w:hAnsi="Verdana"/>
          <w:sz w:val="20"/>
          <w:szCs w:val="20"/>
          <w:lang w:val="en-IE"/>
        </w:rPr>
        <w:t xml:space="preserve">Consider the recent announcement of the Government’s intention to increase the state funding for ‘research and innovation’ from the current </w:t>
      </w:r>
      <w:r w:rsidR="000734D7">
        <w:rPr>
          <w:rFonts w:ascii="Verdana" w:hAnsi="Verdana"/>
          <w:sz w:val="20"/>
          <w:szCs w:val="20"/>
          <w:lang w:val="en-IE"/>
        </w:rPr>
        <w:t xml:space="preserve">annual </w:t>
      </w:r>
      <w:r w:rsidR="009213B0" w:rsidRPr="005F5A29">
        <w:rPr>
          <w:rFonts w:ascii="Verdana" w:hAnsi="Verdana"/>
          <w:sz w:val="20"/>
          <w:szCs w:val="20"/>
          <w:lang w:val="en-IE"/>
        </w:rPr>
        <w:t xml:space="preserve">amount of €2.9bn to €5bn by 2020. As part of this investment, a 30% increase in PhD student numbers is anticipated as is a 30% increase in the number of postdoctoral researchers. At the same time, the Government has pledged in its recently-published Capital Investment Plan </w:t>
      </w:r>
      <w:r w:rsidR="005F5A29">
        <w:rPr>
          <w:rFonts w:ascii="Verdana" w:hAnsi="Verdana"/>
          <w:sz w:val="20"/>
          <w:szCs w:val="20"/>
          <w:lang w:val="en-IE"/>
        </w:rPr>
        <w:t>(</w:t>
      </w:r>
      <w:r w:rsidR="005F5A29" w:rsidRPr="00352ECA">
        <w:rPr>
          <w:rFonts w:ascii="Verdana" w:hAnsi="Verdana"/>
          <w:i/>
          <w:sz w:val="20"/>
          <w:szCs w:val="20"/>
          <w:lang w:val="en-IE"/>
        </w:rPr>
        <w:t>Building on Recovery</w:t>
      </w:r>
      <w:r w:rsidR="005F5A29">
        <w:rPr>
          <w:rFonts w:ascii="Verdana" w:hAnsi="Verdana"/>
          <w:sz w:val="20"/>
          <w:szCs w:val="20"/>
          <w:lang w:val="en-IE"/>
        </w:rPr>
        <w:t xml:space="preserve">) </w:t>
      </w:r>
      <w:r w:rsidR="009213B0" w:rsidRPr="005F5A29">
        <w:rPr>
          <w:rFonts w:ascii="Verdana" w:hAnsi="Verdana"/>
          <w:sz w:val="20"/>
          <w:szCs w:val="20"/>
          <w:lang w:val="en-IE"/>
        </w:rPr>
        <w:t xml:space="preserve">to inject a mere €100m into ‘Higher Education’ over the same period. These two pledges, when taken together, </w:t>
      </w:r>
      <w:r w:rsidR="001B2AB9">
        <w:rPr>
          <w:rFonts w:ascii="Verdana" w:hAnsi="Verdana"/>
          <w:sz w:val="20"/>
          <w:szCs w:val="20"/>
          <w:lang w:val="en-IE"/>
        </w:rPr>
        <w:t xml:space="preserve">and following on from a decade in which state funding per student has consistently declined, </w:t>
      </w:r>
      <w:r w:rsidR="009213B0" w:rsidRPr="005F5A29">
        <w:rPr>
          <w:rFonts w:ascii="Verdana" w:hAnsi="Verdana"/>
          <w:sz w:val="20"/>
          <w:szCs w:val="20"/>
          <w:lang w:val="en-IE"/>
        </w:rPr>
        <w:t xml:space="preserve">show </w:t>
      </w:r>
      <w:r w:rsidR="009213B0" w:rsidRPr="005F5A29">
        <w:rPr>
          <w:rFonts w:ascii="Verdana" w:hAnsi="Verdana"/>
          <w:i/>
          <w:sz w:val="20"/>
          <w:szCs w:val="20"/>
          <w:lang w:val="en-IE"/>
        </w:rPr>
        <w:t>a</w:t>
      </w:r>
      <w:r w:rsidRPr="005F5A29">
        <w:rPr>
          <w:rFonts w:ascii="Verdana" w:hAnsi="Verdana"/>
          <w:i/>
          <w:sz w:val="20"/>
          <w:szCs w:val="20"/>
          <w:lang w:val="en-IE"/>
        </w:rPr>
        <w:t xml:space="preserve">n unfortunate </w:t>
      </w:r>
      <w:r w:rsidR="009213B0" w:rsidRPr="005F5A29">
        <w:rPr>
          <w:rFonts w:ascii="Verdana" w:hAnsi="Verdana"/>
          <w:i/>
          <w:sz w:val="20"/>
          <w:szCs w:val="20"/>
          <w:lang w:val="en-IE"/>
        </w:rPr>
        <w:t>absence of joined-up thinking</w:t>
      </w:r>
      <w:r w:rsidR="009213B0" w:rsidRPr="005F5A29">
        <w:rPr>
          <w:rFonts w:ascii="Verdana" w:hAnsi="Verdana"/>
          <w:sz w:val="20"/>
          <w:szCs w:val="20"/>
          <w:lang w:val="en-IE"/>
        </w:rPr>
        <w:t>. Undergraduate students are the pipeline for tomorrow’s researchers and innovators, and funding directed to</w:t>
      </w:r>
      <w:r w:rsidR="001B2AB9">
        <w:rPr>
          <w:rFonts w:ascii="Verdana" w:hAnsi="Verdana"/>
          <w:sz w:val="20"/>
          <w:szCs w:val="20"/>
          <w:lang w:val="en-IE"/>
        </w:rPr>
        <w:t xml:space="preserve">wards ‘research and innovation’, especially large research centres, </w:t>
      </w:r>
      <w:r w:rsidR="009213B0" w:rsidRPr="005F5A29">
        <w:rPr>
          <w:rFonts w:ascii="Verdana" w:hAnsi="Verdana"/>
          <w:sz w:val="20"/>
          <w:szCs w:val="20"/>
          <w:lang w:val="en-IE"/>
        </w:rPr>
        <w:t xml:space="preserve">has </w:t>
      </w:r>
      <w:r w:rsidR="00352ECA">
        <w:rPr>
          <w:rFonts w:ascii="Verdana" w:hAnsi="Verdana"/>
          <w:sz w:val="20"/>
          <w:szCs w:val="20"/>
          <w:lang w:val="en-IE"/>
        </w:rPr>
        <w:t xml:space="preserve">a </w:t>
      </w:r>
      <w:r w:rsidR="00BB2352">
        <w:rPr>
          <w:rFonts w:ascii="Verdana" w:hAnsi="Verdana"/>
          <w:sz w:val="20"/>
          <w:szCs w:val="20"/>
          <w:lang w:val="en-IE"/>
        </w:rPr>
        <w:t>very small</w:t>
      </w:r>
      <w:r w:rsidR="009213B0" w:rsidRPr="005F5A29">
        <w:rPr>
          <w:rFonts w:ascii="Verdana" w:hAnsi="Verdana"/>
          <w:sz w:val="20"/>
          <w:szCs w:val="20"/>
          <w:lang w:val="en-IE"/>
        </w:rPr>
        <w:t xml:space="preserve"> effect on the quality of </w:t>
      </w:r>
      <w:r w:rsidR="001B2AB9">
        <w:rPr>
          <w:rFonts w:ascii="Verdana" w:hAnsi="Verdana"/>
          <w:sz w:val="20"/>
          <w:szCs w:val="20"/>
          <w:lang w:val="en-IE"/>
        </w:rPr>
        <w:t>many students’</w:t>
      </w:r>
      <w:r w:rsidR="009213B0" w:rsidRPr="005F5A29">
        <w:rPr>
          <w:rFonts w:ascii="Verdana" w:hAnsi="Verdana"/>
          <w:sz w:val="20"/>
          <w:szCs w:val="20"/>
          <w:lang w:val="en-IE"/>
        </w:rPr>
        <w:t xml:space="preserve"> education. Unless we have a rolling plan for </w:t>
      </w:r>
      <w:r w:rsidR="009213B0" w:rsidRPr="005F5A29">
        <w:rPr>
          <w:rFonts w:ascii="Verdana" w:hAnsi="Verdana"/>
          <w:i/>
          <w:sz w:val="20"/>
          <w:szCs w:val="20"/>
          <w:lang w:val="en-IE"/>
        </w:rPr>
        <w:t>capital investment</w:t>
      </w:r>
      <w:r w:rsidR="009213B0" w:rsidRPr="005F5A29">
        <w:rPr>
          <w:rFonts w:ascii="Verdana" w:hAnsi="Verdana"/>
          <w:sz w:val="20"/>
          <w:szCs w:val="20"/>
          <w:lang w:val="en-IE"/>
        </w:rPr>
        <w:t xml:space="preserve"> in undergraduate education</w:t>
      </w:r>
      <w:r w:rsidRPr="005F5A29">
        <w:rPr>
          <w:rFonts w:ascii="Verdana" w:hAnsi="Verdana"/>
          <w:sz w:val="20"/>
          <w:szCs w:val="20"/>
          <w:lang w:val="en-IE"/>
        </w:rPr>
        <w:t>, especially laboratory facilities,</w:t>
      </w:r>
      <w:r w:rsidR="009213B0" w:rsidRPr="005F5A29">
        <w:rPr>
          <w:rFonts w:ascii="Verdana" w:hAnsi="Verdana"/>
          <w:sz w:val="20"/>
          <w:szCs w:val="20"/>
          <w:lang w:val="en-IE"/>
        </w:rPr>
        <w:t xml:space="preserve"> we will struggle to have an economy based on research and innovation. </w:t>
      </w:r>
    </w:p>
    <w:p w:rsidR="009213B0" w:rsidRPr="005F5A29" w:rsidRDefault="0040440D" w:rsidP="00D61C44">
      <w:pPr>
        <w:jc w:val="both"/>
        <w:rPr>
          <w:rFonts w:ascii="Verdana" w:hAnsi="Verdana"/>
          <w:sz w:val="20"/>
          <w:szCs w:val="20"/>
        </w:rPr>
      </w:pPr>
      <w:r>
        <w:rPr>
          <w:rFonts w:ascii="Verdana" w:hAnsi="Verdana"/>
          <w:sz w:val="20"/>
          <w:szCs w:val="20"/>
          <w:lang w:val="en-IE"/>
        </w:rPr>
        <w:t>In this context</w:t>
      </w:r>
      <w:r w:rsidR="00CD1411">
        <w:rPr>
          <w:rFonts w:ascii="Verdana" w:hAnsi="Verdana"/>
          <w:sz w:val="20"/>
          <w:szCs w:val="20"/>
          <w:lang w:val="en-IE"/>
        </w:rPr>
        <w:t>,</w:t>
      </w:r>
      <w:r>
        <w:rPr>
          <w:rFonts w:ascii="Verdana" w:hAnsi="Verdana"/>
          <w:sz w:val="20"/>
          <w:szCs w:val="20"/>
          <w:lang w:val="en-IE"/>
        </w:rPr>
        <w:t xml:space="preserve"> it is worth noting that CAO first preferences for Science and Applied Science</w:t>
      </w:r>
      <w:r w:rsidR="00E87B67">
        <w:rPr>
          <w:rFonts w:ascii="Verdana" w:hAnsi="Verdana"/>
          <w:sz w:val="20"/>
          <w:szCs w:val="20"/>
          <w:lang w:val="en-IE"/>
        </w:rPr>
        <w:t>s</w:t>
      </w:r>
      <w:r>
        <w:rPr>
          <w:rFonts w:ascii="Verdana" w:hAnsi="Verdana"/>
          <w:sz w:val="20"/>
          <w:szCs w:val="20"/>
          <w:lang w:val="en-IE"/>
        </w:rPr>
        <w:t xml:space="preserve"> have declined since 2013 and this is a trend that needs to be monitored. It is quite possible that we have been in a </w:t>
      </w:r>
      <w:r w:rsidRPr="00E87B67">
        <w:rPr>
          <w:rFonts w:ascii="Verdana" w:hAnsi="Verdana"/>
          <w:i/>
          <w:sz w:val="20"/>
          <w:szCs w:val="20"/>
          <w:lang w:val="en-IE"/>
        </w:rPr>
        <w:t>science bubble</w:t>
      </w:r>
      <w:r>
        <w:rPr>
          <w:rFonts w:ascii="Verdana" w:hAnsi="Verdana"/>
          <w:sz w:val="20"/>
          <w:szCs w:val="20"/>
          <w:lang w:val="en-IE"/>
        </w:rPr>
        <w:t xml:space="preserve"> and funding plans that presume a limitless supply of high calibre students to fill PhD positions should be re-examined. In passing, it is the view of this author</w:t>
      </w:r>
      <w:r w:rsidR="00BB2352">
        <w:rPr>
          <w:rFonts w:ascii="Verdana" w:hAnsi="Verdana"/>
          <w:sz w:val="20"/>
          <w:szCs w:val="20"/>
          <w:lang w:val="en-IE"/>
        </w:rPr>
        <w:t>, and it is probably not a commonly held view in academic circles,</w:t>
      </w:r>
      <w:r>
        <w:rPr>
          <w:rFonts w:ascii="Verdana" w:hAnsi="Verdana"/>
          <w:sz w:val="20"/>
          <w:szCs w:val="20"/>
          <w:lang w:val="en-IE"/>
        </w:rPr>
        <w:t xml:space="preserve"> </w:t>
      </w:r>
      <w:r>
        <w:rPr>
          <w:rFonts w:ascii="Verdana" w:hAnsi="Verdana"/>
          <w:sz w:val="20"/>
          <w:szCs w:val="20"/>
          <w:lang w:val="en-IE"/>
        </w:rPr>
        <w:lastRenderedPageBreak/>
        <w:t>that the whole area of PhD education and training needs to be reviewed and hard questions need to be asked as to the real value of PhD training to Irish industry. The key question that is rarely asked is this: is a PhD graduate of more value to a company than a</w:t>
      </w:r>
      <w:r w:rsidR="009851FA">
        <w:rPr>
          <w:rFonts w:ascii="Verdana" w:hAnsi="Verdana"/>
          <w:sz w:val="20"/>
          <w:szCs w:val="20"/>
          <w:lang w:val="en-IE"/>
        </w:rPr>
        <w:t>n equally-talented</w:t>
      </w:r>
      <w:r>
        <w:rPr>
          <w:rFonts w:ascii="Verdana" w:hAnsi="Verdana"/>
          <w:sz w:val="20"/>
          <w:szCs w:val="20"/>
          <w:lang w:val="en-IE"/>
        </w:rPr>
        <w:t xml:space="preserve"> graduate with four years of industrial exper</w:t>
      </w:r>
      <w:r w:rsidR="00863075">
        <w:rPr>
          <w:rFonts w:ascii="Verdana" w:hAnsi="Verdana"/>
          <w:sz w:val="20"/>
          <w:szCs w:val="20"/>
          <w:lang w:val="en-IE"/>
        </w:rPr>
        <w:t xml:space="preserve">ience and does that added value, if it exists, </w:t>
      </w:r>
      <w:r>
        <w:rPr>
          <w:rFonts w:ascii="Verdana" w:hAnsi="Verdana"/>
          <w:sz w:val="20"/>
          <w:szCs w:val="20"/>
          <w:lang w:val="en-IE"/>
        </w:rPr>
        <w:t>justify the considerable investment involved?</w:t>
      </w:r>
      <w:r w:rsidR="00863075">
        <w:rPr>
          <w:rFonts w:ascii="Verdana" w:hAnsi="Verdana"/>
          <w:sz w:val="20"/>
          <w:szCs w:val="20"/>
          <w:lang w:val="en-IE"/>
        </w:rPr>
        <w:t xml:space="preserve"> </w:t>
      </w:r>
    </w:p>
    <w:p w:rsidR="009213B0" w:rsidRDefault="0040440D" w:rsidP="00863075">
      <w:pPr>
        <w:pStyle w:val="Heading4"/>
        <w:numPr>
          <w:ilvl w:val="0"/>
          <w:numId w:val="2"/>
        </w:numPr>
        <w:ind w:left="360"/>
        <w:rPr>
          <w:lang w:val="en-IE"/>
        </w:rPr>
      </w:pPr>
      <w:r>
        <w:rPr>
          <w:lang w:val="en-IE"/>
        </w:rPr>
        <w:t>Are student committed to their third level education</w:t>
      </w:r>
      <w:r w:rsidR="00EE5572">
        <w:rPr>
          <w:lang w:val="en-IE"/>
        </w:rPr>
        <w:t>?</w:t>
      </w:r>
    </w:p>
    <w:p w:rsidR="00863075" w:rsidRDefault="0040440D" w:rsidP="00863075">
      <w:pPr>
        <w:tabs>
          <w:tab w:val="left" w:pos="7926"/>
        </w:tabs>
        <w:jc w:val="both"/>
        <w:rPr>
          <w:rFonts w:ascii="Verdana" w:hAnsi="Verdana"/>
          <w:sz w:val="20"/>
          <w:szCs w:val="20"/>
          <w:lang w:val="en-IE"/>
        </w:rPr>
      </w:pPr>
      <w:r w:rsidRPr="00863075">
        <w:rPr>
          <w:rFonts w:ascii="Verdana" w:hAnsi="Verdana"/>
          <w:sz w:val="20"/>
          <w:szCs w:val="20"/>
          <w:lang w:val="en-IE"/>
        </w:rPr>
        <w:t>Unfortunately the numbers speak for themselves</w:t>
      </w:r>
      <w:r w:rsidR="00863075" w:rsidRPr="00863075">
        <w:rPr>
          <w:rFonts w:ascii="Verdana" w:hAnsi="Verdana"/>
          <w:sz w:val="20"/>
          <w:szCs w:val="20"/>
          <w:lang w:val="en-IE"/>
        </w:rPr>
        <w:t xml:space="preserve"> as shown in </w:t>
      </w:r>
      <w:r w:rsidR="00352ECA">
        <w:rPr>
          <w:rFonts w:ascii="Verdana" w:hAnsi="Verdana"/>
          <w:sz w:val="20"/>
          <w:szCs w:val="20"/>
          <w:lang w:val="en-IE"/>
        </w:rPr>
        <w:t xml:space="preserve">the </w:t>
      </w:r>
      <w:r w:rsidR="00EE5572">
        <w:rPr>
          <w:rFonts w:ascii="Verdana" w:hAnsi="Verdana"/>
          <w:sz w:val="20"/>
          <w:szCs w:val="20"/>
          <w:lang w:val="en-IE"/>
        </w:rPr>
        <w:t>figure</w:t>
      </w:r>
      <w:r w:rsidR="00863075" w:rsidRPr="00863075">
        <w:rPr>
          <w:rFonts w:ascii="Verdana" w:hAnsi="Verdana"/>
          <w:sz w:val="20"/>
          <w:szCs w:val="20"/>
          <w:lang w:val="en-IE"/>
        </w:rPr>
        <w:t xml:space="preserve"> below. </w:t>
      </w:r>
      <w:r w:rsidR="00EE5572">
        <w:rPr>
          <w:rFonts w:ascii="Verdana" w:hAnsi="Verdana"/>
          <w:sz w:val="20"/>
          <w:szCs w:val="20"/>
          <w:lang w:val="en-IE"/>
        </w:rPr>
        <w:t>If the ‘independent learning time’ allocated to typical modules in the modern modular system is to be believed, the majority of students are simply not fulfilling their part of the education bargain. Indeed, given the data shown below, it is surprising that non-progression rates are not higher.</w:t>
      </w:r>
    </w:p>
    <w:p w:rsidR="00863075" w:rsidRDefault="00863075" w:rsidP="00863075">
      <w:pPr>
        <w:tabs>
          <w:tab w:val="left" w:pos="7926"/>
        </w:tabs>
        <w:spacing w:line="360" w:lineRule="auto"/>
        <w:jc w:val="center"/>
        <w:rPr>
          <w:rFonts w:ascii="Verdana" w:hAnsi="Verdana"/>
          <w:sz w:val="20"/>
          <w:szCs w:val="20"/>
          <w:lang w:val="en-IE"/>
        </w:rPr>
      </w:pPr>
      <w:r>
        <w:rPr>
          <w:noProof/>
        </w:rPr>
        <w:drawing>
          <wp:inline distT="0" distB="0" distL="0" distR="0" wp14:anchorId="2E7E871B" wp14:editId="4711DD51">
            <wp:extent cx="457200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63075" w:rsidRDefault="00863075" w:rsidP="00863075">
      <w:pPr>
        <w:tabs>
          <w:tab w:val="left" w:pos="7926"/>
        </w:tabs>
        <w:rPr>
          <w:rFonts w:ascii="Verdana" w:hAnsi="Verdana"/>
          <w:sz w:val="20"/>
          <w:szCs w:val="20"/>
          <w:lang w:val="en-IE"/>
        </w:rPr>
      </w:pPr>
      <w:r w:rsidRPr="009F39DC">
        <w:rPr>
          <w:rFonts w:ascii="Verdana" w:hAnsi="Verdana"/>
          <w:b/>
          <w:sz w:val="20"/>
          <w:szCs w:val="20"/>
          <w:lang w:val="en-IE"/>
        </w:rPr>
        <w:t xml:space="preserve">Figure </w:t>
      </w:r>
      <w:r>
        <w:rPr>
          <w:rFonts w:ascii="Verdana" w:hAnsi="Verdana"/>
          <w:b/>
          <w:sz w:val="20"/>
          <w:szCs w:val="20"/>
          <w:lang w:val="en-IE"/>
        </w:rPr>
        <w:t>1</w:t>
      </w:r>
      <w:r>
        <w:rPr>
          <w:rFonts w:ascii="Verdana" w:hAnsi="Verdana"/>
          <w:sz w:val="20"/>
          <w:szCs w:val="20"/>
          <w:lang w:val="en-IE"/>
        </w:rPr>
        <w:t xml:space="preserve"> Time devoted to independent learning </w:t>
      </w:r>
      <w:r w:rsidR="00EE5572">
        <w:rPr>
          <w:rFonts w:ascii="Verdana" w:hAnsi="Verdana"/>
          <w:sz w:val="20"/>
          <w:szCs w:val="20"/>
          <w:lang w:val="en-IE"/>
        </w:rPr>
        <w:t xml:space="preserve">(study and continuous assessment) </w:t>
      </w:r>
      <w:r>
        <w:rPr>
          <w:rFonts w:ascii="Verdana" w:hAnsi="Verdana"/>
          <w:sz w:val="20"/>
          <w:szCs w:val="20"/>
          <w:lang w:val="en-IE"/>
        </w:rPr>
        <w:t>by third level students (Data from studentsurvey.ie)</w:t>
      </w:r>
    </w:p>
    <w:p w:rsidR="00EE5572" w:rsidRDefault="00EE5572" w:rsidP="00EE5572">
      <w:pPr>
        <w:tabs>
          <w:tab w:val="left" w:pos="7926"/>
        </w:tabs>
        <w:jc w:val="both"/>
        <w:rPr>
          <w:rFonts w:ascii="Verdana" w:hAnsi="Verdana"/>
          <w:sz w:val="20"/>
          <w:szCs w:val="20"/>
          <w:lang w:val="en-IE"/>
        </w:rPr>
      </w:pPr>
      <w:r>
        <w:rPr>
          <w:rFonts w:ascii="Verdana" w:hAnsi="Verdana"/>
          <w:sz w:val="20"/>
          <w:szCs w:val="20"/>
          <w:lang w:val="en-IE"/>
        </w:rPr>
        <w:t xml:space="preserve">It would seem that there are wider cultural forces at work here and the third level institutions can do </w:t>
      </w:r>
      <w:r w:rsidR="00CD1411">
        <w:rPr>
          <w:rFonts w:ascii="Verdana" w:hAnsi="Verdana"/>
          <w:sz w:val="20"/>
          <w:szCs w:val="20"/>
          <w:lang w:val="en-IE"/>
        </w:rPr>
        <w:t xml:space="preserve">only </w:t>
      </w:r>
      <w:r>
        <w:rPr>
          <w:rFonts w:ascii="Verdana" w:hAnsi="Verdana"/>
          <w:sz w:val="20"/>
          <w:szCs w:val="20"/>
          <w:lang w:val="en-IE"/>
        </w:rPr>
        <w:t xml:space="preserve">so much to counter them. </w:t>
      </w:r>
      <w:r w:rsidRPr="00863075">
        <w:rPr>
          <w:rFonts w:ascii="Verdana" w:hAnsi="Verdana"/>
          <w:sz w:val="20"/>
          <w:szCs w:val="20"/>
          <w:lang w:val="en-IE"/>
        </w:rPr>
        <w:t xml:space="preserve">Students seem to have unrealistic expectations regarding the level of work required to </w:t>
      </w:r>
      <w:r w:rsidR="00CD1411">
        <w:rPr>
          <w:rFonts w:ascii="Verdana" w:hAnsi="Verdana"/>
          <w:sz w:val="20"/>
          <w:szCs w:val="20"/>
          <w:lang w:val="en-IE"/>
        </w:rPr>
        <w:t xml:space="preserve">perform well </w:t>
      </w:r>
      <w:r w:rsidRPr="00863075">
        <w:rPr>
          <w:rFonts w:ascii="Verdana" w:hAnsi="Verdana"/>
          <w:sz w:val="20"/>
          <w:szCs w:val="20"/>
          <w:lang w:val="en-IE"/>
        </w:rPr>
        <w:t xml:space="preserve">at this level </w:t>
      </w:r>
      <w:r>
        <w:rPr>
          <w:rFonts w:ascii="Verdana" w:hAnsi="Verdana"/>
          <w:sz w:val="20"/>
          <w:szCs w:val="20"/>
          <w:lang w:val="en-IE"/>
        </w:rPr>
        <w:t xml:space="preserve">and this is aggravated by the highly distracting, smartphone culture in which they live. Furthermore, many academic staff </w:t>
      </w:r>
      <w:proofErr w:type="gramStart"/>
      <w:r>
        <w:rPr>
          <w:rFonts w:ascii="Verdana" w:hAnsi="Verdana"/>
          <w:sz w:val="20"/>
          <w:szCs w:val="20"/>
          <w:lang w:val="en-IE"/>
        </w:rPr>
        <w:t>bemoan</w:t>
      </w:r>
      <w:proofErr w:type="gramEnd"/>
      <w:r>
        <w:rPr>
          <w:rFonts w:ascii="Verdana" w:hAnsi="Verdana"/>
          <w:sz w:val="20"/>
          <w:szCs w:val="20"/>
          <w:lang w:val="en-IE"/>
        </w:rPr>
        <w:t xml:space="preserve"> the dependency culture </w:t>
      </w:r>
      <w:r w:rsidR="00856396">
        <w:rPr>
          <w:rFonts w:ascii="Verdana" w:hAnsi="Verdana"/>
          <w:sz w:val="20"/>
          <w:szCs w:val="20"/>
          <w:lang w:val="en-IE"/>
        </w:rPr>
        <w:t xml:space="preserve">that </w:t>
      </w:r>
      <w:r w:rsidR="00856396" w:rsidRPr="00BB2352">
        <w:rPr>
          <w:rFonts w:ascii="Verdana" w:hAnsi="Verdana"/>
          <w:i/>
          <w:sz w:val="20"/>
          <w:szCs w:val="20"/>
          <w:lang w:val="en-IE"/>
        </w:rPr>
        <w:t>we</w:t>
      </w:r>
      <w:r w:rsidR="00856396" w:rsidRPr="00C45CE5">
        <w:rPr>
          <w:rFonts w:ascii="Verdana" w:hAnsi="Verdana"/>
          <w:sz w:val="20"/>
          <w:szCs w:val="20"/>
          <w:lang w:val="en-IE"/>
        </w:rPr>
        <w:t xml:space="preserve"> have created</w:t>
      </w:r>
      <w:r w:rsidR="00C45CE5">
        <w:rPr>
          <w:rFonts w:ascii="Verdana" w:hAnsi="Verdana"/>
          <w:sz w:val="20"/>
          <w:szCs w:val="20"/>
          <w:lang w:val="en-IE"/>
        </w:rPr>
        <w:t xml:space="preserve"> t</w:t>
      </w:r>
      <w:r w:rsidR="006939DF">
        <w:rPr>
          <w:rFonts w:ascii="Verdana" w:hAnsi="Verdana"/>
          <w:sz w:val="20"/>
          <w:szCs w:val="20"/>
          <w:lang w:val="en-IE"/>
        </w:rPr>
        <w:t>o</w:t>
      </w:r>
      <w:r w:rsidR="00C45CE5">
        <w:rPr>
          <w:rFonts w:ascii="Verdana" w:hAnsi="Verdana"/>
          <w:sz w:val="20"/>
          <w:szCs w:val="20"/>
          <w:lang w:val="en-IE"/>
        </w:rPr>
        <w:t xml:space="preserve"> the extent that some academic staff feel </w:t>
      </w:r>
      <w:r w:rsidR="006808B4">
        <w:rPr>
          <w:rFonts w:ascii="Verdana" w:hAnsi="Verdana"/>
          <w:sz w:val="20"/>
          <w:szCs w:val="20"/>
          <w:lang w:val="en-IE"/>
        </w:rPr>
        <w:t xml:space="preserve">almost </w:t>
      </w:r>
      <w:r w:rsidR="00E75F6D">
        <w:rPr>
          <w:rFonts w:ascii="Verdana" w:hAnsi="Verdana"/>
          <w:sz w:val="20"/>
          <w:szCs w:val="20"/>
          <w:lang w:val="en-IE"/>
        </w:rPr>
        <w:t>“harassed” by students</w:t>
      </w:r>
      <w:r w:rsidR="00C45CE5">
        <w:rPr>
          <w:rFonts w:ascii="Verdana" w:hAnsi="Verdana"/>
          <w:sz w:val="20"/>
          <w:szCs w:val="20"/>
          <w:lang w:val="en-IE"/>
        </w:rPr>
        <w:t>.</w:t>
      </w:r>
      <w:r w:rsidR="00856396">
        <w:rPr>
          <w:rStyle w:val="FootnoteReference"/>
          <w:rFonts w:ascii="Verdana" w:hAnsi="Verdana"/>
          <w:sz w:val="20"/>
          <w:szCs w:val="20"/>
          <w:lang w:val="en-IE"/>
        </w:rPr>
        <w:footnoteReference w:id="9"/>
      </w:r>
      <w:r w:rsidR="00856396">
        <w:rPr>
          <w:rFonts w:ascii="Verdana" w:hAnsi="Verdana"/>
          <w:sz w:val="20"/>
          <w:szCs w:val="20"/>
          <w:lang w:val="en-IE"/>
        </w:rPr>
        <w:t xml:space="preserve"> On</w:t>
      </w:r>
      <w:r w:rsidR="003F1D80">
        <w:rPr>
          <w:rFonts w:ascii="Verdana" w:hAnsi="Verdana"/>
          <w:sz w:val="20"/>
          <w:szCs w:val="20"/>
          <w:lang w:val="en-IE"/>
        </w:rPr>
        <w:t>e</w:t>
      </w:r>
      <w:r w:rsidR="00856396">
        <w:rPr>
          <w:rFonts w:ascii="Verdana" w:hAnsi="Verdana"/>
          <w:sz w:val="20"/>
          <w:szCs w:val="20"/>
          <w:lang w:val="en-IE"/>
        </w:rPr>
        <w:t xml:space="preserve"> example </w:t>
      </w:r>
      <w:r w:rsidR="00C45CE5">
        <w:rPr>
          <w:rFonts w:ascii="Verdana" w:hAnsi="Verdana"/>
          <w:sz w:val="20"/>
          <w:szCs w:val="20"/>
          <w:lang w:val="en-IE"/>
        </w:rPr>
        <w:t xml:space="preserve">of how a dependency culture has been created </w:t>
      </w:r>
      <w:r w:rsidR="00856396">
        <w:rPr>
          <w:rFonts w:ascii="Verdana" w:hAnsi="Verdana"/>
          <w:sz w:val="20"/>
          <w:szCs w:val="20"/>
          <w:lang w:val="en-IE"/>
        </w:rPr>
        <w:t xml:space="preserve">is the </w:t>
      </w:r>
      <w:r w:rsidR="003F1D80">
        <w:rPr>
          <w:rFonts w:ascii="Verdana" w:hAnsi="Verdana"/>
          <w:sz w:val="20"/>
          <w:szCs w:val="20"/>
          <w:lang w:val="en-IE"/>
        </w:rPr>
        <w:t xml:space="preserve">modern </w:t>
      </w:r>
      <w:r w:rsidR="00856396">
        <w:rPr>
          <w:rFonts w:ascii="Verdana" w:hAnsi="Verdana"/>
          <w:sz w:val="20"/>
          <w:szCs w:val="20"/>
          <w:lang w:val="en-IE"/>
        </w:rPr>
        <w:t xml:space="preserve">practice of posting lecture notes and associated material online. This has led to a drop in attendance rates and an increasing reluctance </w:t>
      </w:r>
      <w:r w:rsidR="003F1D80">
        <w:rPr>
          <w:rFonts w:ascii="Verdana" w:hAnsi="Verdana"/>
          <w:sz w:val="20"/>
          <w:szCs w:val="20"/>
          <w:lang w:val="en-IE"/>
        </w:rPr>
        <w:t>on the part of</w:t>
      </w:r>
      <w:r w:rsidR="00856396">
        <w:rPr>
          <w:rFonts w:ascii="Verdana" w:hAnsi="Verdana"/>
          <w:sz w:val="20"/>
          <w:szCs w:val="20"/>
          <w:lang w:val="en-IE"/>
        </w:rPr>
        <w:t xml:space="preserve"> students to study or read any material beyond </w:t>
      </w:r>
      <w:r w:rsidR="00BB2352">
        <w:rPr>
          <w:rFonts w:ascii="Verdana" w:hAnsi="Verdana"/>
          <w:sz w:val="20"/>
          <w:szCs w:val="20"/>
          <w:lang w:val="en-IE"/>
        </w:rPr>
        <w:t>w</w:t>
      </w:r>
      <w:r w:rsidR="00856396">
        <w:rPr>
          <w:rFonts w:ascii="Verdana" w:hAnsi="Verdana"/>
          <w:sz w:val="20"/>
          <w:szCs w:val="20"/>
          <w:lang w:val="en-IE"/>
        </w:rPr>
        <w:t xml:space="preserve">hat has been provided by the lecturer. </w:t>
      </w:r>
      <w:r w:rsidR="00352ECA">
        <w:rPr>
          <w:rFonts w:ascii="Verdana" w:hAnsi="Verdana"/>
          <w:sz w:val="20"/>
          <w:szCs w:val="20"/>
          <w:lang w:val="en-IE"/>
        </w:rPr>
        <w:t xml:space="preserve">The subject becomes the </w:t>
      </w:r>
      <w:r w:rsidR="00227333">
        <w:rPr>
          <w:rFonts w:ascii="Verdana" w:hAnsi="Verdana"/>
          <w:sz w:val="20"/>
          <w:szCs w:val="20"/>
          <w:lang w:val="en-IE"/>
        </w:rPr>
        <w:t xml:space="preserve">online </w:t>
      </w:r>
      <w:r w:rsidR="00352ECA">
        <w:rPr>
          <w:rFonts w:ascii="Verdana" w:hAnsi="Verdana"/>
          <w:sz w:val="20"/>
          <w:szCs w:val="20"/>
          <w:lang w:val="en-IE"/>
        </w:rPr>
        <w:t>notes</w:t>
      </w:r>
      <w:r w:rsidR="006939DF">
        <w:rPr>
          <w:rFonts w:ascii="Verdana" w:hAnsi="Verdana"/>
          <w:sz w:val="20"/>
          <w:szCs w:val="20"/>
          <w:lang w:val="en-IE"/>
        </w:rPr>
        <w:t xml:space="preserve"> and nothing more</w:t>
      </w:r>
      <w:r w:rsidR="00352ECA">
        <w:rPr>
          <w:rFonts w:ascii="Verdana" w:hAnsi="Verdana"/>
          <w:sz w:val="20"/>
          <w:szCs w:val="20"/>
          <w:lang w:val="en-IE"/>
        </w:rPr>
        <w:t xml:space="preserve">. </w:t>
      </w:r>
      <w:r w:rsidR="00856396">
        <w:rPr>
          <w:rFonts w:ascii="Verdana" w:hAnsi="Verdana"/>
          <w:sz w:val="20"/>
          <w:szCs w:val="20"/>
          <w:lang w:val="en-IE"/>
        </w:rPr>
        <w:t>In effect</w:t>
      </w:r>
      <w:r w:rsidR="00227333">
        <w:rPr>
          <w:rFonts w:ascii="Verdana" w:hAnsi="Verdana"/>
          <w:sz w:val="20"/>
          <w:szCs w:val="20"/>
          <w:lang w:val="en-IE"/>
        </w:rPr>
        <w:t>,</w:t>
      </w:r>
      <w:r w:rsidR="00856396">
        <w:rPr>
          <w:rFonts w:ascii="Verdana" w:hAnsi="Verdana"/>
          <w:sz w:val="20"/>
          <w:szCs w:val="20"/>
          <w:lang w:val="en-IE"/>
        </w:rPr>
        <w:t xml:space="preserve"> we have evolved a paradoxical situation where education is dominated by discussions about ‘problem solving’, ‘critical </w:t>
      </w:r>
      <w:r w:rsidR="0042330E">
        <w:rPr>
          <w:rFonts w:ascii="Verdana" w:hAnsi="Verdana"/>
          <w:sz w:val="20"/>
          <w:szCs w:val="20"/>
          <w:lang w:val="en-IE"/>
        </w:rPr>
        <w:t xml:space="preserve">and creative </w:t>
      </w:r>
      <w:r w:rsidR="00856396">
        <w:rPr>
          <w:rFonts w:ascii="Verdana" w:hAnsi="Verdana"/>
          <w:sz w:val="20"/>
          <w:szCs w:val="20"/>
          <w:lang w:val="en-IE"/>
        </w:rPr>
        <w:t>thinking, ‘21</w:t>
      </w:r>
      <w:r w:rsidR="00856396" w:rsidRPr="00856396">
        <w:rPr>
          <w:rFonts w:ascii="Verdana" w:hAnsi="Verdana"/>
          <w:sz w:val="20"/>
          <w:szCs w:val="20"/>
          <w:vertAlign w:val="superscript"/>
          <w:lang w:val="en-IE"/>
        </w:rPr>
        <w:t>st</w:t>
      </w:r>
      <w:r w:rsidR="00856396">
        <w:rPr>
          <w:rFonts w:ascii="Verdana" w:hAnsi="Verdana"/>
          <w:sz w:val="20"/>
          <w:szCs w:val="20"/>
          <w:lang w:val="en-IE"/>
        </w:rPr>
        <w:t xml:space="preserve"> Century skills’ and the like, yet we are </w:t>
      </w:r>
      <w:r w:rsidR="00856396">
        <w:rPr>
          <w:rFonts w:ascii="Verdana" w:hAnsi="Verdana"/>
          <w:sz w:val="20"/>
          <w:szCs w:val="20"/>
          <w:lang w:val="en-IE"/>
        </w:rPr>
        <w:lastRenderedPageBreak/>
        <w:t xml:space="preserve">increasingly adopting </w:t>
      </w:r>
      <w:r w:rsidR="003F1D80">
        <w:rPr>
          <w:rFonts w:ascii="Verdana" w:hAnsi="Verdana"/>
          <w:sz w:val="20"/>
          <w:szCs w:val="20"/>
          <w:lang w:val="en-IE"/>
        </w:rPr>
        <w:t>(</w:t>
      </w:r>
      <w:r w:rsidR="00C45CE5">
        <w:rPr>
          <w:rFonts w:ascii="Verdana" w:hAnsi="Verdana"/>
          <w:sz w:val="20"/>
          <w:szCs w:val="20"/>
          <w:lang w:val="en-IE"/>
        </w:rPr>
        <w:t>out of a sense of fear</w:t>
      </w:r>
      <w:r w:rsidR="00227333">
        <w:rPr>
          <w:rFonts w:ascii="Verdana" w:hAnsi="Verdana"/>
          <w:sz w:val="20"/>
          <w:szCs w:val="20"/>
          <w:lang w:val="en-IE"/>
        </w:rPr>
        <w:t xml:space="preserve"> perhaps</w:t>
      </w:r>
      <w:r w:rsidR="003F1D80">
        <w:rPr>
          <w:rFonts w:ascii="Verdana" w:hAnsi="Verdana"/>
          <w:sz w:val="20"/>
          <w:szCs w:val="20"/>
          <w:lang w:val="en-IE"/>
        </w:rPr>
        <w:t xml:space="preserve">) </w:t>
      </w:r>
      <w:r w:rsidR="00856396">
        <w:rPr>
          <w:rFonts w:ascii="Verdana" w:hAnsi="Verdana"/>
          <w:sz w:val="20"/>
          <w:szCs w:val="20"/>
          <w:lang w:val="en-IE"/>
        </w:rPr>
        <w:t xml:space="preserve">teaching methods that </w:t>
      </w:r>
      <w:r w:rsidR="003F1D80">
        <w:rPr>
          <w:rFonts w:ascii="Verdana" w:hAnsi="Verdana"/>
          <w:sz w:val="20"/>
          <w:szCs w:val="20"/>
          <w:lang w:val="en-IE"/>
        </w:rPr>
        <w:t>actually</w:t>
      </w:r>
      <w:r w:rsidR="00856396">
        <w:rPr>
          <w:rFonts w:ascii="Verdana" w:hAnsi="Verdana"/>
          <w:sz w:val="20"/>
          <w:szCs w:val="20"/>
          <w:lang w:val="en-IE"/>
        </w:rPr>
        <w:t xml:space="preserve"> discourage students from being independent </w:t>
      </w:r>
      <w:r w:rsidR="0042330E">
        <w:rPr>
          <w:rFonts w:ascii="Verdana" w:hAnsi="Verdana"/>
          <w:sz w:val="20"/>
          <w:szCs w:val="20"/>
          <w:lang w:val="en-IE"/>
        </w:rPr>
        <w:t>learners</w:t>
      </w:r>
      <w:r w:rsidR="00856396">
        <w:rPr>
          <w:rFonts w:ascii="Verdana" w:hAnsi="Verdana"/>
          <w:sz w:val="20"/>
          <w:szCs w:val="20"/>
          <w:lang w:val="en-IE"/>
        </w:rPr>
        <w:t>.</w:t>
      </w:r>
      <w:r w:rsidR="00B12003">
        <w:rPr>
          <w:rFonts w:ascii="Verdana" w:hAnsi="Verdana"/>
          <w:sz w:val="20"/>
          <w:szCs w:val="20"/>
          <w:lang w:val="en-IE"/>
        </w:rPr>
        <w:t xml:space="preserve"> We have designed a system whereby huge numbers of school-leavers attend third level education but it is </w:t>
      </w:r>
      <w:r w:rsidR="00227333">
        <w:rPr>
          <w:rFonts w:ascii="Verdana" w:hAnsi="Verdana"/>
          <w:sz w:val="20"/>
          <w:szCs w:val="20"/>
          <w:lang w:val="en-IE"/>
        </w:rPr>
        <w:t xml:space="preserve">increasingly </w:t>
      </w:r>
      <w:r w:rsidR="00C753C5">
        <w:rPr>
          <w:rFonts w:ascii="Verdana" w:hAnsi="Verdana"/>
          <w:sz w:val="20"/>
          <w:szCs w:val="20"/>
          <w:lang w:val="en-IE"/>
        </w:rPr>
        <w:t>a case of “</w:t>
      </w:r>
      <w:r w:rsidR="00B12003">
        <w:rPr>
          <w:rFonts w:ascii="Verdana" w:hAnsi="Verdana"/>
          <w:sz w:val="20"/>
          <w:szCs w:val="20"/>
          <w:lang w:val="en-IE"/>
        </w:rPr>
        <w:t>third level education but not as we know it</w:t>
      </w:r>
      <w:r w:rsidR="00C753C5">
        <w:rPr>
          <w:rFonts w:ascii="Verdana" w:hAnsi="Verdana"/>
          <w:sz w:val="20"/>
          <w:szCs w:val="20"/>
          <w:lang w:val="en-IE"/>
        </w:rPr>
        <w:t>”</w:t>
      </w:r>
      <w:r w:rsidR="00B12003">
        <w:rPr>
          <w:rFonts w:ascii="Verdana" w:hAnsi="Verdana"/>
          <w:sz w:val="20"/>
          <w:szCs w:val="20"/>
          <w:lang w:val="en-IE"/>
        </w:rPr>
        <w:t xml:space="preserve">. </w:t>
      </w:r>
    </w:p>
    <w:p w:rsidR="00D35B38" w:rsidRDefault="00D35B38" w:rsidP="00EE5572">
      <w:pPr>
        <w:tabs>
          <w:tab w:val="left" w:pos="7926"/>
        </w:tabs>
        <w:jc w:val="both"/>
        <w:rPr>
          <w:rFonts w:ascii="Verdana" w:hAnsi="Verdana"/>
          <w:sz w:val="20"/>
          <w:szCs w:val="20"/>
          <w:lang w:val="en-IE"/>
        </w:rPr>
      </w:pPr>
    </w:p>
    <w:p w:rsidR="00D35B38" w:rsidRPr="00D35B38" w:rsidRDefault="00D35B38" w:rsidP="00EE5572">
      <w:pPr>
        <w:tabs>
          <w:tab w:val="left" w:pos="7926"/>
        </w:tabs>
        <w:jc w:val="both"/>
        <w:rPr>
          <w:rFonts w:ascii="Verdana" w:hAnsi="Verdana"/>
          <w:b/>
          <w:sz w:val="20"/>
          <w:szCs w:val="20"/>
          <w:lang w:val="en-IE"/>
        </w:rPr>
      </w:pPr>
      <w:r w:rsidRPr="00D35B38">
        <w:rPr>
          <w:rFonts w:ascii="Verdana" w:hAnsi="Verdana"/>
          <w:b/>
          <w:sz w:val="20"/>
          <w:szCs w:val="20"/>
          <w:lang w:val="en-IE"/>
        </w:rPr>
        <w:t>Conclusions</w:t>
      </w:r>
    </w:p>
    <w:p w:rsidR="00D35B38" w:rsidRPr="00261E87" w:rsidRDefault="00D35B38" w:rsidP="00EE5572">
      <w:pPr>
        <w:tabs>
          <w:tab w:val="left" w:pos="7926"/>
        </w:tabs>
        <w:jc w:val="both"/>
        <w:rPr>
          <w:rFonts w:ascii="Verdana" w:hAnsi="Verdana"/>
          <w:sz w:val="20"/>
          <w:szCs w:val="20"/>
          <w:lang w:val="en-IE"/>
        </w:rPr>
      </w:pPr>
      <w:r w:rsidRPr="00261E87">
        <w:rPr>
          <w:rFonts w:ascii="Verdana" w:hAnsi="Verdana"/>
          <w:sz w:val="20"/>
          <w:szCs w:val="20"/>
          <w:lang w:val="en-IE"/>
        </w:rPr>
        <w:t xml:space="preserve">As a society we have placed a </w:t>
      </w:r>
      <w:r w:rsidR="00471C13">
        <w:rPr>
          <w:rFonts w:ascii="Verdana" w:hAnsi="Verdana"/>
          <w:sz w:val="20"/>
          <w:szCs w:val="20"/>
          <w:lang w:val="en-IE"/>
        </w:rPr>
        <w:t>large</w:t>
      </w:r>
      <w:r w:rsidRPr="00261E87">
        <w:rPr>
          <w:rFonts w:ascii="Verdana" w:hAnsi="Verdana"/>
          <w:sz w:val="20"/>
          <w:szCs w:val="20"/>
          <w:lang w:val="en-IE"/>
        </w:rPr>
        <w:t xml:space="preserve"> emphasis on third level education over the last two decades and there is no questioning the benefit, financial and otherwise, that accrues to individuals who have had the opportunity to learn at th</w:t>
      </w:r>
      <w:r w:rsidR="006939DF">
        <w:rPr>
          <w:rFonts w:ascii="Verdana" w:hAnsi="Verdana"/>
          <w:sz w:val="20"/>
          <w:szCs w:val="20"/>
          <w:lang w:val="en-IE"/>
        </w:rPr>
        <w:t>ird</w:t>
      </w:r>
      <w:r w:rsidRPr="00261E87">
        <w:rPr>
          <w:rFonts w:ascii="Verdana" w:hAnsi="Verdana"/>
          <w:sz w:val="20"/>
          <w:szCs w:val="20"/>
          <w:lang w:val="en-IE"/>
        </w:rPr>
        <w:t xml:space="preserve"> level. However, we, i.e., citizens, educators, </w:t>
      </w:r>
      <w:r w:rsidR="00B75653">
        <w:rPr>
          <w:rFonts w:ascii="Verdana" w:hAnsi="Verdana"/>
          <w:sz w:val="20"/>
          <w:szCs w:val="20"/>
          <w:lang w:val="en-IE"/>
        </w:rPr>
        <w:t xml:space="preserve">students, </w:t>
      </w:r>
      <w:r w:rsidRPr="00261E87">
        <w:rPr>
          <w:rFonts w:ascii="Verdana" w:hAnsi="Verdana"/>
          <w:sz w:val="20"/>
          <w:szCs w:val="20"/>
          <w:lang w:val="en-IE"/>
        </w:rPr>
        <w:t xml:space="preserve">policy-makers and employers, do not seem to have any clear vision as to what third level education should be. Many employers, for example, see third level education as </w:t>
      </w:r>
      <w:r w:rsidR="00261E87">
        <w:rPr>
          <w:rFonts w:ascii="Verdana" w:hAnsi="Verdana"/>
          <w:sz w:val="20"/>
          <w:szCs w:val="20"/>
          <w:lang w:val="en-IE"/>
        </w:rPr>
        <w:t xml:space="preserve">little more than </w:t>
      </w:r>
      <w:r w:rsidRPr="00261E87">
        <w:rPr>
          <w:rFonts w:ascii="Verdana" w:hAnsi="Verdana"/>
          <w:sz w:val="20"/>
          <w:szCs w:val="20"/>
          <w:lang w:val="en-IE"/>
        </w:rPr>
        <w:t xml:space="preserve">training while, as I have </w:t>
      </w:r>
      <w:r w:rsidR="004A0EA1" w:rsidRPr="00261E87">
        <w:rPr>
          <w:rFonts w:ascii="Verdana" w:hAnsi="Verdana"/>
          <w:sz w:val="20"/>
          <w:szCs w:val="20"/>
          <w:lang w:val="en-IE"/>
        </w:rPr>
        <w:t>suggested</w:t>
      </w:r>
      <w:r w:rsidRPr="00261E87">
        <w:rPr>
          <w:rFonts w:ascii="Verdana" w:hAnsi="Verdana"/>
          <w:sz w:val="20"/>
          <w:szCs w:val="20"/>
          <w:lang w:val="en-IE"/>
        </w:rPr>
        <w:t xml:space="preserve"> above, many stakeholders seem to view third level as an extended f</w:t>
      </w:r>
      <w:r w:rsidR="004A0EA1" w:rsidRPr="00261E87">
        <w:rPr>
          <w:rFonts w:ascii="Verdana" w:hAnsi="Verdana"/>
          <w:sz w:val="20"/>
          <w:szCs w:val="20"/>
          <w:lang w:val="en-IE"/>
        </w:rPr>
        <w:t>orm</w:t>
      </w:r>
      <w:r w:rsidRPr="00261E87">
        <w:rPr>
          <w:rFonts w:ascii="Verdana" w:hAnsi="Verdana"/>
          <w:sz w:val="20"/>
          <w:szCs w:val="20"/>
          <w:lang w:val="en-IE"/>
        </w:rPr>
        <w:t xml:space="preserve"> of second level.</w:t>
      </w:r>
      <w:r w:rsidR="004A0EA1" w:rsidRPr="00261E87">
        <w:rPr>
          <w:rFonts w:ascii="Verdana" w:hAnsi="Verdana"/>
          <w:sz w:val="20"/>
          <w:szCs w:val="20"/>
          <w:lang w:val="en-IE"/>
        </w:rPr>
        <w:t xml:space="preserve"> </w:t>
      </w:r>
      <w:r w:rsidR="00261E87">
        <w:rPr>
          <w:rFonts w:ascii="Verdana" w:hAnsi="Verdana"/>
          <w:sz w:val="20"/>
          <w:szCs w:val="20"/>
          <w:lang w:val="en-IE"/>
        </w:rPr>
        <w:t>Others, particularly some academics, cling to the traditional view of third level education as an inherent good that should not have to justify its existence for utilitarian reasons. M</w:t>
      </w:r>
      <w:r w:rsidR="004A0EA1" w:rsidRPr="00261E87">
        <w:rPr>
          <w:rFonts w:ascii="Verdana" w:hAnsi="Verdana"/>
          <w:sz w:val="20"/>
          <w:szCs w:val="20"/>
          <w:lang w:val="en-IE"/>
        </w:rPr>
        <w:t xml:space="preserve">any policy-makers view the third level sector as playing a vital role in establishing Ireland as a knowledge economy, yet there is a </w:t>
      </w:r>
      <w:r w:rsidR="00471C13">
        <w:rPr>
          <w:rFonts w:ascii="Verdana" w:hAnsi="Verdana"/>
          <w:sz w:val="20"/>
          <w:szCs w:val="20"/>
          <w:lang w:val="en-IE"/>
        </w:rPr>
        <w:t>curious</w:t>
      </w:r>
      <w:bookmarkStart w:id="0" w:name="_GoBack"/>
      <w:bookmarkEnd w:id="0"/>
      <w:r w:rsidR="004A0EA1" w:rsidRPr="00261E87">
        <w:rPr>
          <w:rFonts w:ascii="Verdana" w:hAnsi="Verdana"/>
          <w:sz w:val="20"/>
          <w:szCs w:val="20"/>
          <w:lang w:val="en-IE"/>
        </w:rPr>
        <w:t xml:space="preserve"> reluctance to fund the essential facilities required to </w:t>
      </w:r>
      <w:r w:rsidR="006939DF">
        <w:rPr>
          <w:rFonts w:ascii="Verdana" w:hAnsi="Verdana"/>
          <w:sz w:val="20"/>
          <w:szCs w:val="20"/>
          <w:lang w:val="en-IE"/>
        </w:rPr>
        <w:t>support this a</w:t>
      </w:r>
      <w:r w:rsidR="006808B4">
        <w:rPr>
          <w:rFonts w:ascii="Verdana" w:hAnsi="Verdana"/>
          <w:sz w:val="20"/>
          <w:szCs w:val="20"/>
          <w:lang w:val="en-IE"/>
        </w:rPr>
        <w:t>mbition</w:t>
      </w:r>
      <w:r w:rsidR="004A0EA1" w:rsidRPr="00261E87">
        <w:rPr>
          <w:rFonts w:ascii="Verdana" w:hAnsi="Verdana"/>
          <w:sz w:val="20"/>
          <w:szCs w:val="20"/>
          <w:lang w:val="en-IE"/>
        </w:rPr>
        <w:t xml:space="preserve">. </w:t>
      </w:r>
    </w:p>
    <w:p w:rsidR="0040440D" w:rsidRDefault="004A0EA1" w:rsidP="00261E87">
      <w:pPr>
        <w:jc w:val="both"/>
        <w:rPr>
          <w:rFonts w:ascii="Verdana" w:hAnsi="Verdana"/>
          <w:sz w:val="20"/>
          <w:szCs w:val="20"/>
          <w:lang w:val="en-IE"/>
        </w:rPr>
      </w:pPr>
      <w:r w:rsidRPr="00261E87">
        <w:rPr>
          <w:rFonts w:ascii="Verdana" w:hAnsi="Verdana"/>
          <w:sz w:val="20"/>
          <w:szCs w:val="20"/>
          <w:lang w:val="en-IE"/>
        </w:rPr>
        <w:t xml:space="preserve">We need to have a nationwide discussion about third level education but it has to be informed by evidence. I believe we need a national survey, similar to the </w:t>
      </w:r>
      <w:r w:rsidR="006939DF">
        <w:rPr>
          <w:rFonts w:ascii="Verdana" w:hAnsi="Verdana"/>
          <w:sz w:val="20"/>
          <w:szCs w:val="20"/>
          <w:lang w:val="en-IE"/>
        </w:rPr>
        <w:t xml:space="preserve">highly-regarded </w:t>
      </w:r>
      <w:r w:rsidRPr="00261E87">
        <w:rPr>
          <w:rFonts w:ascii="Verdana" w:hAnsi="Verdana"/>
          <w:i/>
          <w:sz w:val="20"/>
          <w:szCs w:val="20"/>
          <w:lang w:val="en-IE"/>
        </w:rPr>
        <w:t>Growing Up in Ireland</w:t>
      </w:r>
      <w:r w:rsidRPr="00261E87">
        <w:rPr>
          <w:rFonts w:ascii="Verdana" w:hAnsi="Verdana"/>
          <w:sz w:val="20"/>
          <w:szCs w:val="20"/>
          <w:lang w:val="en-IE"/>
        </w:rPr>
        <w:t xml:space="preserve"> study. We need to track a </w:t>
      </w:r>
      <w:r w:rsidR="00261E87">
        <w:rPr>
          <w:rFonts w:ascii="Verdana" w:hAnsi="Verdana"/>
          <w:sz w:val="20"/>
          <w:szCs w:val="20"/>
          <w:lang w:val="en-IE"/>
        </w:rPr>
        <w:t xml:space="preserve">very </w:t>
      </w:r>
      <w:r w:rsidRPr="00261E87">
        <w:rPr>
          <w:rFonts w:ascii="Verdana" w:hAnsi="Verdana"/>
          <w:sz w:val="20"/>
          <w:szCs w:val="20"/>
          <w:lang w:val="en-IE"/>
        </w:rPr>
        <w:t xml:space="preserve">large cohort of students from </w:t>
      </w:r>
      <w:r w:rsidR="00261E87">
        <w:rPr>
          <w:rFonts w:ascii="Verdana" w:hAnsi="Verdana"/>
          <w:sz w:val="20"/>
          <w:szCs w:val="20"/>
          <w:lang w:val="en-IE"/>
        </w:rPr>
        <w:t xml:space="preserve">the </w:t>
      </w:r>
      <w:r w:rsidRPr="00261E87">
        <w:rPr>
          <w:rFonts w:ascii="Verdana" w:hAnsi="Verdana"/>
          <w:sz w:val="20"/>
          <w:szCs w:val="20"/>
          <w:lang w:val="en-IE"/>
        </w:rPr>
        <w:t>first year of third</w:t>
      </w:r>
      <w:r w:rsidR="00261E87" w:rsidRPr="00261E87">
        <w:rPr>
          <w:rFonts w:ascii="Verdana" w:hAnsi="Verdana"/>
          <w:sz w:val="20"/>
          <w:szCs w:val="20"/>
          <w:lang w:val="en-IE"/>
        </w:rPr>
        <w:t xml:space="preserve"> level to graduation and beyond for at least a decade.</w:t>
      </w:r>
      <w:r w:rsidRPr="00261E87">
        <w:rPr>
          <w:rFonts w:ascii="Verdana" w:hAnsi="Verdana"/>
          <w:sz w:val="20"/>
          <w:szCs w:val="20"/>
          <w:lang w:val="en-IE"/>
        </w:rPr>
        <w:t xml:space="preserve"> </w:t>
      </w:r>
      <w:r w:rsidR="006939DF">
        <w:rPr>
          <w:rFonts w:ascii="Verdana" w:hAnsi="Verdana"/>
          <w:sz w:val="20"/>
          <w:szCs w:val="20"/>
          <w:lang w:val="en-IE"/>
        </w:rPr>
        <w:t xml:space="preserve">Let’s see if all students receive the undoubted benefits of third level education regardless of the institution they attend or the discipline that they study. </w:t>
      </w:r>
      <w:r w:rsidRPr="00261E87">
        <w:rPr>
          <w:rFonts w:ascii="Verdana" w:hAnsi="Verdana"/>
          <w:sz w:val="20"/>
          <w:szCs w:val="20"/>
          <w:lang w:val="en-IE"/>
        </w:rPr>
        <w:t>Let’s find out how well our education s</w:t>
      </w:r>
      <w:r w:rsidR="00261E87" w:rsidRPr="00261E87">
        <w:rPr>
          <w:rFonts w:ascii="Verdana" w:hAnsi="Verdana"/>
          <w:sz w:val="20"/>
          <w:szCs w:val="20"/>
          <w:lang w:val="en-IE"/>
        </w:rPr>
        <w:t>ystem</w:t>
      </w:r>
      <w:r w:rsidRPr="00261E87">
        <w:rPr>
          <w:rFonts w:ascii="Verdana" w:hAnsi="Verdana"/>
          <w:sz w:val="20"/>
          <w:szCs w:val="20"/>
          <w:lang w:val="en-IE"/>
        </w:rPr>
        <w:t xml:space="preserve"> really prepares young people for life and the</w:t>
      </w:r>
      <w:r w:rsidR="00261E87">
        <w:rPr>
          <w:rFonts w:ascii="Verdana" w:hAnsi="Verdana"/>
          <w:sz w:val="20"/>
          <w:szCs w:val="20"/>
          <w:lang w:val="en-IE"/>
        </w:rPr>
        <w:t xml:space="preserve">ir careers and </w:t>
      </w:r>
      <w:r w:rsidR="00964D7E">
        <w:rPr>
          <w:rFonts w:ascii="Verdana" w:hAnsi="Verdana"/>
          <w:sz w:val="20"/>
          <w:szCs w:val="20"/>
          <w:lang w:val="en-IE"/>
        </w:rPr>
        <w:t xml:space="preserve">let us see precisely </w:t>
      </w:r>
      <w:r w:rsidR="00261E87">
        <w:rPr>
          <w:rFonts w:ascii="Verdana" w:hAnsi="Verdana"/>
          <w:sz w:val="20"/>
          <w:szCs w:val="20"/>
          <w:lang w:val="en-IE"/>
        </w:rPr>
        <w:t>how our society and our economy benefits from the investment we have made.</w:t>
      </w:r>
      <w:r w:rsidRPr="00261E87">
        <w:rPr>
          <w:rFonts w:ascii="Verdana" w:hAnsi="Verdana"/>
          <w:sz w:val="20"/>
          <w:szCs w:val="20"/>
          <w:lang w:val="en-IE"/>
        </w:rPr>
        <w:t xml:space="preserve"> </w:t>
      </w:r>
      <w:r w:rsidR="00261E87" w:rsidRPr="00261E87">
        <w:rPr>
          <w:rFonts w:ascii="Verdana" w:hAnsi="Verdana"/>
          <w:sz w:val="20"/>
          <w:szCs w:val="20"/>
          <w:lang w:val="en-IE"/>
        </w:rPr>
        <w:t xml:space="preserve">At the moment, discussions around third and fourth level education </w:t>
      </w:r>
      <w:r w:rsidR="00261E87">
        <w:rPr>
          <w:rFonts w:ascii="Verdana" w:hAnsi="Verdana"/>
          <w:sz w:val="20"/>
          <w:szCs w:val="20"/>
          <w:lang w:val="en-IE"/>
        </w:rPr>
        <w:t>are</w:t>
      </w:r>
      <w:r w:rsidR="00261E87" w:rsidRPr="00261E87">
        <w:rPr>
          <w:rFonts w:ascii="Verdana" w:hAnsi="Verdana"/>
          <w:sz w:val="20"/>
          <w:szCs w:val="20"/>
          <w:lang w:val="en-IE"/>
        </w:rPr>
        <w:t xml:space="preserve"> dominated by anecdote</w:t>
      </w:r>
      <w:r w:rsidR="00261E87">
        <w:rPr>
          <w:rFonts w:ascii="Verdana" w:hAnsi="Verdana"/>
          <w:sz w:val="20"/>
          <w:szCs w:val="20"/>
          <w:lang w:val="en-IE"/>
        </w:rPr>
        <w:t>,</w:t>
      </w:r>
      <w:r w:rsidR="00261E87" w:rsidRPr="00261E87">
        <w:rPr>
          <w:rFonts w:ascii="Verdana" w:hAnsi="Verdana"/>
          <w:sz w:val="20"/>
          <w:szCs w:val="20"/>
          <w:lang w:val="en-IE"/>
        </w:rPr>
        <w:t xml:space="preserve"> opinion</w:t>
      </w:r>
      <w:r w:rsidR="00261E87">
        <w:rPr>
          <w:rFonts w:ascii="Verdana" w:hAnsi="Verdana"/>
          <w:sz w:val="20"/>
          <w:szCs w:val="20"/>
          <w:lang w:val="en-IE"/>
        </w:rPr>
        <w:t xml:space="preserve"> and ideology</w:t>
      </w:r>
      <w:r w:rsidR="00261E87" w:rsidRPr="00261E87">
        <w:rPr>
          <w:rFonts w:ascii="Verdana" w:hAnsi="Verdana"/>
          <w:sz w:val="20"/>
          <w:szCs w:val="20"/>
          <w:lang w:val="en-IE"/>
        </w:rPr>
        <w:t xml:space="preserve">. Given the amount </w:t>
      </w:r>
      <w:r w:rsidR="00261E87">
        <w:rPr>
          <w:rFonts w:ascii="Verdana" w:hAnsi="Verdana"/>
          <w:sz w:val="20"/>
          <w:szCs w:val="20"/>
          <w:lang w:val="en-IE"/>
        </w:rPr>
        <w:t>t</w:t>
      </w:r>
      <w:r w:rsidR="00261E87" w:rsidRPr="00261E87">
        <w:rPr>
          <w:rFonts w:ascii="Verdana" w:hAnsi="Verdana"/>
          <w:sz w:val="20"/>
          <w:szCs w:val="20"/>
          <w:lang w:val="en-IE"/>
        </w:rPr>
        <w:t>he state</w:t>
      </w:r>
      <w:r w:rsidR="00F90520">
        <w:rPr>
          <w:rFonts w:ascii="Verdana" w:hAnsi="Verdana"/>
          <w:sz w:val="20"/>
          <w:szCs w:val="20"/>
          <w:lang w:val="en-IE"/>
        </w:rPr>
        <w:t xml:space="preserve"> spends on education</w:t>
      </w:r>
      <w:r w:rsidR="00261E87" w:rsidRPr="00261E87">
        <w:rPr>
          <w:rFonts w:ascii="Verdana" w:hAnsi="Verdana"/>
          <w:sz w:val="20"/>
          <w:szCs w:val="20"/>
          <w:lang w:val="en-IE"/>
        </w:rPr>
        <w:t xml:space="preserve"> that </w:t>
      </w:r>
      <w:r w:rsidR="00964D7E">
        <w:rPr>
          <w:rFonts w:ascii="Verdana" w:hAnsi="Verdana"/>
          <w:sz w:val="20"/>
          <w:szCs w:val="20"/>
          <w:lang w:val="en-IE"/>
        </w:rPr>
        <w:t xml:space="preserve">does not seem good </w:t>
      </w:r>
      <w:r w:rsidR="00F90520">
        <w:rPr>
          <w:rFonts w:ascii="Verdana" w:hAnsi="Verdana"/>
          <w:sz w:val="20"/>
          <w:szCs w:val="20"/>
          <w:lang w:val="en-IE"/>
        </w:rPr>
        <w:t>enough</w:t>
      </w:r>
      <w:r w:rsidR="00261E87" w:rsidRPr="00261E87">
        <w:rPr>
          <w:rFonts w:ascii="Verdana" w:hAnsi="Verdana"/>
          <w:sz w:val="20"/>
          <w:szCs w:val="20"/>
          <w:lang w:val="en-IE"/>
        </w:rPr>
        <w:t xml:space="preserve">. </w:t>
      </w:r>
    </w:p>
    <w:p w:rsidR="00F90520" w:rsidRDefault="00F90520" w:rsidP="00261E87">
      <w:pPr>
        <w:jc w:val="both"/>
        <w:rPr>
          <w:rFonts w:ascii="Verdana" w:hAnsi="Verdana"/>
          <w:sz w:val="20"/>
          <w:szCs w:val="20"/>
          <w:lang w:val="en-IE"/>
        </w:rPr>
      </w:pPr>
    </w:p>
    <w:p w:rsidR="00F90520" w:rsidRPr="00261E87" w:rsidRDefault="00F90520" w:rsidP="00F90520">
      <w:pPr>
        <w:jc w:val="right"/>
        <w:rPr>
          <w:rFonts w:ascii="Verdana" w:hAnsi="Verdana"/>
          <w:sz w:val="20"/>
          <w:szCs w:val="20"/>
          <w:lang w:val="en-IE"/>
        </w:rPr>
      </w:pPr>
      <w:r>
        <w:rPr>
          <w:rFonts w:ascii="Verdana" w:hAnsi="Verdana"/>
          <w:sz w:val="20"/>
          <w:szCs w:val="20"/>
          <w:lang w:val="en-IE"/>
        </w:rPr>
        <w:t>End</w:t>
      </w:r>
    </w:p>
    <w:sectPr w:rsidR="00F90520" w:rsidRPr="00261E87">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FB6" w:rsidRDefault="00345FB6" w:rsidP="009213B0">
      <w:pPr>
        <w:spacing w:after="0" w:line="240" w:lineRule="auto"/>
      </w:pPr>
      <w:r>
        <w:separator/>
      </w:r>
    </w:p>
  </w:endnote>
  <w:endnote w:type="continuationSeparator" w:id="0">
    <w:p w:rsidR="00345FB6" w:rsidRDefault="00345FB6" w:rsidP="00921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520" w:rsidRDefault="00F90520" w:rsidP="00F90520">
    <w:pPr>
      <w:pStyle w:val="Footer"/>
      <w:jc w:val="right"/>
    </w:pPr>
    <w:r>
      <w:fldChar w:fldCharType="begin"/>
    </w:r>
    <w:r>
      <w:instrText xml:space="preserve"> PAGE   \* MERGEFORMAT </w:instrText>
    </w:r>
    <w:r>
      <w:fldChar w:fldCharType="separate"/>
    </w:r>
    <w:r w:rsidR="00471C13">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FB6" w:rsidRDefault="00345FB6" w:rsidP="009213B0">
      <w:pPr>
        <w:spacing w:after="0" w:line="240" w:lineRule="auto"/>
      </w:pPr>
      <w:r>
        <w:separator/>
      </w:r>
    </w:p>
  </w:footnote>
  <w:footnote w:type="continuationSeparator" w:id="0">
    <w:p w:rsidR="00345FB6" w:rsidRDefault="00345FB6" w:rsidP="009213B0">
      <w:pPr>
        <w:spacing w:after="0" w:line="240" w:lineRule="auto"/>
      </w:pPr>
      <w:r>
        <w:continuationSeparator/>
      </w:r>
    </w:p>
  </w:footnote>
  <w:footnote w:id="1">
    <w:p w:rsidR="009B7813" w:rsidRPr="009213B0" w:rsidRDefault="009B7813">
      <w:pPr>
        <w:pStyle w:val="FootnoteText"/>
        <w:rPr>
          <w:lang w:val="en-IE"/>
        </w:rPr>
      </w:pPr>
      <w:r>
        <w:rPr>
          <w:rStyle w:val="FootnoteReference"/>
        </w:rPr>
        <w:footnoteRef/>
      </w:r>
      <w:r>
        <w:t xml:space="preserve"> </w:t>
      </w:r>
      <w:r w:rsidRPr="00284393">
        <w:t>http://ec.europa.eu/education/library/reports/modernisation_en.pdf</w:t>
      </w:r>
    </w:p>
  </w:footnote>
  <w:footnote w:id="2">
    <w:p w:rsidR="00BE0578" w:rsidRPr="00BE0578" w:rsidRDefault="00BE0578">
      <w:pPr>
        <w:pStyle w:val="FootnoteText"/>
        <w:rPr>
          <w:lang w:val="en-IE"/>
        </w:rPr>
      </w:pPr>
      <w:r>
        <w:rPr>
          <w:rStyle w:val="FootnoteReference"/>
        </w:rPr>
        <w:footnoteRef/>
      </w:r>
      <w:r>
        <w:t xml:space="preserve"> </w:t>
      </w:r>
      <w:r>
        <w:rPr>
          <w:lang w:val="en-IE"/>
        </w:rPr>
        <w:t xml:space="preserve">In contrast to the anecdotes, the Irish Survey of Student Engagement (studentsurvey.ie) suggests that at least two thirds of students are satisfied or very satisfied with the quality </w:t>
      </w:r>
      <w:r w:rsidR="00A04936">
        <w:rPr>
          <w:lang w:val="en-IE"/>
        </w:rPr>
        <w:t xml:space="preserve">of </w:t>
      </w:r>
      <w:r>
        <w:rPr>
          <w:lang w:val="en-IE"/>
        </w:rPr>
        <w:t>their third level education and only a small percentage express outright dissatisfaction.</w:t>
      </w:r>
    </w:p>
  </w:footnote>
  <w:footnote w:id="3">
    <w:p w:rsidR="009851FA" w:rsidRPr="009851FA" w:rsidRDefault="009851FA">
      <w:pPr>
        <w:pStyle w:val="FootnoteText"/>
        <w:rPr>
          <w:lang w:val="en-IE"/>
        </w:rPr>
      </w:pPr>
      <w:r>
        <w:rPr>
          <w:rStyle w:val="FootnoteReference"/>
        </w:rPr>
        <w:footnoteRef/>
      </w:r>
      <w:r>
        <w:t xml:space="preserve"> </w:t>
      </w:r>
      <w:r>
        <w:rPr>
          <w:lang w:val="en-IE"/>
        </w:rPr>
        <w:t>The reputation of an institution amongst employers also affects international rankings.</w:t>
      </w:r>
    </w:p>
  </w:footnote>
  <w:footnote w:id="4">
    <w:p w:rsidR="009B7813" w:rsidRPr="00E33681" w:rsidRDefault="009B7813">
      <w:pPr>
        <w:pStyle w:val="FootnoteText"/>
        <w:rPr>
          <w:lang w:val="en-IE"/>
        </w:rPr>
      </w:pPr>
      <w:r>
        <w:rPr>
          <w:rStyle w:val="FootnoteReference"/>
        </w:rPr>
        <w:footnoteRef/>
      </w:r>
      <w:r>
        <w:t xml:space="preserve"> </w:t>
      </w:r>
      <w:r>
        <w:rPr>
          <w:lang w:val="en-IE"/>
        </w:rPr>
        <w:t xml:space="preserve">A </w:t>
      </w:r>
      <w:r w:rsidR="00BE0578">
        <w:rPr>
          <w:lang w:val="en-IE"/>
        </w:rPr>
        <w:t>postgraduate diploma in third level teaching, for example</w:t>
      </w:r>
    </w:p>
  </w:footnote>
  <w:footnote w:id="5">
    <w:p w:rsidR="009B7813" w:rsidRPr="00E33681" w:rsidRDefault="009B7813">
      <w:pPr>
        <w:pStyle w:val="FootnoteText"/>
        <w:rPr>
          <w:lang w:val="en-IE"/>
        </w:rPr>
      </w:pPr>
      <w:r>
        <w:rPr>
          <w:rStyle w:val="FootnoteReference"/>
        </w:rPr>
        <w:footnoteRef/>
      </w:r>
      <w:r>
        <w:t xml:space="preserve"> </w:t>
      </w:r>
      <w:r w:rsidRPr="00E33681">
        <w:t>http://www.oecd.org/edu/imhe/QT%20policies%20and%20practices.pdf</w:t>
      </w:r>
    </w:p>
  </w:footnote>
  <w:footnote w:id="6">
    <w:p w:rsidR="009B7813" w:rsidRPr="003F5E83" w:rsidRDefault="009B7813">
      <w:pPr>
        <w:pStyle w:val="FootnoteText"/>
        <w:rPr>
          <w:lang w:val="en-IE"/>
        </w:rPr>
      </w:pPr>
      <w:r>
        <w:rPr>
          <w:rStyle w:val="FootnoteReference"/>
        </w:rPr>
        <w:footnoteRef/>
      </w:r>
      <w:r>
        <w:t xml:space="preserve"> </w:t>
      </w:r>
      <w:r>
        <w:rPr>
          <w:lang w:val="en-IE"/>
        </w:rPr>
        <w:t>Much of this discussion is channelled through the National Forum for the Enhancement of Teaching and Learning</w:t>
      </w:r>
      <w:r w:rsidR="009851FA">
        <w:rPr>
          <w:lang w:val="en-IE"/>
        </w:rPr>
        <w:t xml:space="preserve"> in Higher Education</w:t>
      </w:r>
    </w:p>
  </w:footnote>
  <w:footnote w:id="7">
    <w:p w:rsidR="009B7813" w:rsidRPr="00B6077B" w:rsidRDefault="009B7813">
      <w:pPr>
        <w:pStyle w:val="FootnoteText"/>
        <w:rPr>
          <w:lang w:val="en-IE"/>
        </w:rPr>
      </w:pPr>
      <w:r>
        <w:rPr>
          <w:rStyle w:val="FootnoteReference"/>
        </w:rPr>
        <w:footnoteRef/>
      </w:r>
      <w:r>
        <w:t xml:space="preserve"> </w:t>
      </w:r>
      <w:r w:rsidRPr="00B6077B">
        <w:t>http://www.ewa.org/sites/main/files/file-attachments/brown_ctr_2015_v2.pdf</w:t>
      </w:r>
    </w:p>
  </w:footnote>
  <w:footnote w:id="8">
    <w:p w:rsidR="008726A4" w:rsidRPr="008726A4" w:rsidRDefault="008726A4">
      <w:pPr>
        <w:pStyle w:val="FootnoteText"/>
        <w:rPr>
          <w:lang w:val="en-IE"/>
        </w:rPr>
      </w:pPr>
      <w:r>
        <w:rPr>
          <w:rStyle w:val="FootnoteReference"/>
        </w:rPr>
        <w:footnoteRef/>
      </w:r>
      <w:r>
        <w:t xml:space="preserve"> </w:t>
      </w:r>
      <w:r>
        <w:rPr>
          <w:lang w:val="en-IE"/>
        </w:rPr>
        <w:t>The ongoing and heated debates between the ‘Progressives’ and the ‘</w:t>
      </w:r>
      <w:proofErr w:type="spellStart"/>
      <w:r>
        <w:rPr>
          <w:lang w:val="en-IE"/>
        </w:rPr>
        <w:t>Trads</w:t>
      </w:r>
      <w:proofErr w:type="spellEnd"/>
      <w:r>
        <w:rPr>
          <w:lang w:val="en-IE"/>
        </w:rPr>
        <w:t>’ in the UK is a good example of where ideology can rear its ugly head/</w:t>
      </w:r>
    </w:p>
  </w:footnote>
  <w:footnote w:id="9">
    <w:p w:rsidR="009B7813" w:rsidRPr="00856396" w:rsidRDefault="009B7813">
      <w:pPr>
        <w:pStyle w:val="FootnoteText"/>
        <w:rPr>
          <w:lang w:val="en-IE"/>
        </w:rPr>
      </w:pPr>
      <w:r>
        <w:rPr>
          <w:rStyle w:val="FootnoteReference"/>
        </w:rPr>
        <w:footnoteRef/>
      </w:r>
      <w:r>
        <w:t xml:space="preserve"> Based on a recent survey of DCU staff conducted by SIPTU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A3E5E"/>
    <w:multiLevelType w:val="multilevel"/>
    <w:tmpl w:val="9D185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751569"/>
    <w:multiLevelType w:val="hybridMultilevel"/>
    <w:tmpl w:val="A2E01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B80A1B"/>
    <w:multiLevelType w:val="hybridMultilevel"/>
    <w:tmpl w:val="7F149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B0"/>
    <w:rsid w:val="000048B5"/>
    <w:rsid w:val="000734D7"/>
    <w:rsid w:val="000947B0"/>
    <w:rsid w:val="000E496E"/>
    <w:rsid w:val="00100DD1"/>
    <w:rsid w:val="001028F0"/>
    <w:rsid w:val="00126903"/>
    <w:rsid w:val="001B2AB9"/>
    <w:rsid w:val="001D5763"/>
    <w:rsid w:val="001F0860"/>
    <w:rsid w:val="00224388"/>
    <w:rsid w:val="00227333"/>
    <w:rsid w:val="00261E87"/>
    <w:rsid w:val="00266448"/>
    <w:rsid w:val="002834A6"/>
    <w:rsid w:val="002D6A0E"/>
    <w:rsid w:val="00304DD8"/>
    <w:rsid w:val="00345FB6"/>
    <w:rsid w:val="00352ECA"/>
    <w:rsid w:val="003A34F1"/>
    <w:rsid w:val="003F1D80"/>
    <w:rsid w:val="003F5E83"/>
    <w:rsid w:val="0040440D"/>
    <w:rsid w:val="0040635A"/>
    <w:rsid w:val="00421BE2"/>
    <w:rsid w:val="0042330E"/>
    <w:rsid w:val="00471C13"/>
    <w:rsid w:val="004953BC"/>
    <w:rsid w:val="004A0EA1"/>
    <w:rsid w:val="004A7C57"/>
    <w:rsid w:val="00522E29"/>
    <w:rsid w:val="00542A6E"/>
    <w:rsid w:val="005B5B73"/>
    <w:rsid w:val="005B74BF"/>
    <w:rsid w:val="005C7D5A"/>
    <w:rsid w:val="005D07BA"/>
    <w:rsid w:val="005F5A29"/>
    <w:rsid w:val="00651C95"/>
    <w:rsid w:val="006808B4"/>
    <w:rsid w:val="006939DF"/>
    <w:rsid w:val="007043F2"/>
    <w:rsid w:val="00777D16"/>
    <w:rsid w:val="00785D4E"/>
    <w:rsid w:val="007A0EEC"/>
    <w:rsid w:val="007B5872"/>
    <w:rsid w:val="007E65D4"/>
    <w:rsid w:val="008010D2"/>
    <w:rsid w:val="00856396"/>
    <w:rsid w:val="00863075"/>
    <w:rsid w:val="008726A4"/>
    <w:rsid w:val="008C63BF"/>
    <w:rsid w:val="009213B0"/>
    <w:rsid w:val="00964D7E"/>
    <w:rsid w:val="009851FA"/>
    <w:rsid w:val="009A2219"/>
    <w:rsid w:val="009B7813"/>
    <w:rsid w:val="00A012BB"/>
    <w:rsid w:val="00A04936"/>
    <w:rsid w:val="00AE7055"/>
    <w:rsid w:val="00B0191F"/>
    <w:rsid w:val="00B12003"/>
    <w:rsid w:val="00B321A5"/>
    <w:rsid w:val="00B537AD"/>
    <w:rsid w:val="00B6077B"/>
    <w:rsid w:val="00B75653"/>
    <w:rsid w:val="00BB2352"/>
    <w:rsid w:val="00BB2FE2"/>
    <w:rsid w:val="00BE0578"/>
    <w:rsid w:val="00C36EE1"/>
    <w:rsid w:val="00C45CE5"/>
    <w:rsid w:val="00C67E03"/>
    <w:rsid w:val="00C72C59"/>
    <w:rsid w:val="00C753C5"/>
    <w:rsid w:val="00C91628"/>
    <w:rsid w:val="00CB5FC9"/>
    <w:rsid w:val="00CD1411"/>
    <w:rsid w:val="00CE6FDE"/>
    <w:rsid w:val="00D05371"/>
    <w:rsid w:val="00D065BF"/>
    <w:rsid w:val="00D208B8"/>
    <w:rsid w:val="00D35B38"/>
    <w:rsid w:val="00D61C44"/>
    <w:rsid w:val="00D735D1"/>
    <w:rsid w:val="00E16AA2"/>
    <w:rsid w:val="00E33681"/>
    <w:rsid w:val="00E36B8B"/>
    <w:rsid w:val="00E41AB5"/>
    <w:rsid w:val="00E75F6D"/>
    <w:rsid w:val="00E87B67"/>
    <w:rsid w:val="00EA2E69"/>
    <w:rsid w:val="00EE5572"/>
    <w:rsid w:val="00EE56E5"/>
    <w:rsid w:val="00F222F6"/>
    <w:rsid w:val="00F26DF9"/>
    <w:rsid w:val="00F90520"/>
    <w:rsid w:val="00FB622D"/>
    <w:rsid w:val="00FC167C"/>
    <w:rsid w:val="00FD5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3B0"/>
    <w:rPr>
      <w:position w:val="-4"/>
    </w:rPr>
  </w:style>
  <w:style w:type="paragraph" w:styleId="Heading1">
    <w:name w:val="heading 1"/>
    <w:basedOn w:val="Normal"/>
    <w:next w:val="Normal"/>
    <w:link w:val="Heading1Char"/>
    <w:autoRedefine/>
    <w:qFormat/>
    <w:rsid w:val="000E496E"/>
    <w:pPr>
      <w:keepNext/>
      <w:keepLines/>
      <w:spacing w:before="480" w:after="0"/>
      <w:ind w:left="426" w:hanging="426"/>
      <w:outlineLvl w:val="0"/>
    </w:pPr>
    <w:rPr>
      <w:rFonts w:ascii="Algerian" w:eastAsiaTheme="majorEastAsia" w:hAnsi="Algerian" w:cstheme="majorBidi"/>
      <w:b/>
      <w:bCs/>
      <w:sz w:val="36"/>
      <w:szCs w:val="28"/>
    </w:rPr>
  </w:style>
  <w:style w:type="paragraph" w:styleId="Heading2">
    <w:name w:val="heading 2"/>
    <w:basedOn w:val="Normal"/>
    <w:next w:val="Normal"/>
    <w:link w:val="Heading2Char"/>
    <w:autoRedefine/>
    <w:unhideWhenUsed/>
    <w:qFormat/>
    <w:rsid w:val="001F0860"/>
    <w:pPr>
      <w:keepNext/>
      <w:keepLines/>
      <w:spacing w:before="200" w:after="0"/>
      <w:outlineLvl w:val="1"/>
    </w:pPr>
    <w:rPr>
      <w:rFonts w:ascii="Arial" w:eastAsiaTheme="majorEastAsia" w:hAnsi="Arial" w:cstheme="majorBidi"/>
      <w:b/>
      <w:bCs/>
      <w:sz w:val="32"/>
      <w:szCs w:val="26"/>
    </w:rPr>
  </w:style>
  <w:style w:type="paragraph" w:styleId="Heading3">
    <w:name w:val="heading 3"/>
    <w:basedOn w:val="Normal"/>
    <w:next w:val="Normal"/>
    <w:link w:val="Heading3Char"/>
    <w:autoRedefine/>
    <w:uiPriority w:val="99"/>
    <w:unhideWhenUsed/>
    <w:qFormat/>
    <w:rsid w:val="00D05371"/>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304DD8"/>
    <w:pPr>
      <w:keepNext/>
      <w:keepLines/>
      <w:spacing w:before="200" w:after="0"/>
      <w:outlineLvl w:val="3"/>
    </w:pPr>
    <w:rPr>
      <w:rFonts w:eastAsiaTheme="majorEastAsia"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C59"/>
    <w:pPr>
      <w:spacing w:after="0" w:line="240" w:lineRule="auto"/>
    </w:pPr>
    <w:rPr>
      <w:rFonts w:ascii="Cambria Math" w:hAnsi="Cambria Math"/>
    </w:rPr>
  </w:style>
  <w:style w:type="character" w:customStyle="1" w:styleId="Heading1Char">
    <w:name w:val="Heading 1 Char"/>
    <w:basedOn w:val="DefaultParagraphFont"/>
    <w:link w:val="Heading1"/>
    <w:rsid w:val="000E496E"/>
    <w:rPr>
      <w:rFonts w:ascii="Algerian" w:eastAsiaTheme="majorEastAsia" w:hAnsi="Algerian" w:cstheme="majorBidi"/>
      <w:b/>
      <w:bCs/>
      <w:sz w:val="36"/>
      <w:szCs w:val="28"/>
    </w:rPr>
  </w:style>
  <w:style w:type="character" w:customStyle="1" w:styleId="Heading2Char">
    <w:name w:val="Heading 2 Char"/>
    <w:basedOn w:val="DefaultParagraphFont"/>
    <w:link w:val="Heading2"/>
    <w:rsid w:val="001F0860"/>
    <w:rPr>
      <w:rFonts w:ascii="Arial" w:eastAsiaTheme="majorEastAsia" w:hAnsi="Arial" w:cstheme="majorBidi"/>
      <w:b/>
      <w:bCs/>
      <w:sz w:val="32"/>
      <w:szCs w:val="26"/>
    </w:rPr>
  </w:style>
  <w:style w:type="character" w:customStyle="1" w:styleId="Heading3Char">
    <w:name w:val="Heading 3 Char"/>
    <w:basedOn w:val="DefaultParagraphFont"/>
    <w:link w:val="Heading3"/>
    <w:uiPriority w:val="99"/>
    <w:rsid w:val="00D05371"/>
    <w:rPr>
      <w:rFonts w:ascii="Times New Roman" w:eastAsiaTheme="majorEastAsia" w:hAnsi="Times New Roman" w:cstheme="majorBidi"/>
      <w:b/>
      <w:bCs/>
      <w:sz w:val="28"/>
    </w:rPr>
  </w:style>
  <w:style w:type="character" w:customStyle="1" w:styleId="Heading4Char">
    <w:name w:val="Heading 4 Char"/>
    <w:basedOn w:val="DefaultParagraphFont"/>
    <w:link w:val="Heading4"/>
    <w:uiPriority w:val="9"/>
    <w:rsid w:val="00304DD8"/>
    <w:rPr>
      <w:rFonts w:ascii="Times New Roman" w:eastAsiaTheme="majorEastAsia" w:hAnsi="Times New Roman" w:cstheme="majorBidi"/>
      <w:b/>
      <w:bCs/>
      <w:i/>
      <w:iCs/>
      <w:sz w:val="24"/>
    </w:rPr>
  </w:style>
  <w:style w:type="table" w:styleId="TableGrid">
    <w:name w:val="Table Grid"/>
    <w:basedOn w:val="TableNormal"/>
    <w:uiPriority w:val="59"/>
    <w:rsid w:val="009213B0"/>
    <w:pPr>
      <w:spacing w:after="0" w:line="240" w:lineRule="auto"/>
    </w:pPr>
    <w:rPr>
      <w:position w:val="-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13B0"/>
    <w:pPr>
      <w:spacing w:before="100" w:beforeAutospacing="1" w:after="100" w:afterAutospacing="1" w:line="240" w:lineRule="auto"/>
    </w:pPr>
    <w:rPr>
      <w:rFonts w:eastAsia="Times New Roman" w:cs="Times New Roman"/>
      <w:position w:val="0"/>
      <w:szCs w:val="24"/>
    </w:rPr>
  </w:style>
  <w:style w:type="paragraph" w:styleId="FootnoteText">
    <w:name w:val="footnote text"/>
    <w:basedOn w:val="Normal"/>
    <w:link w:val="FootnoteTextChar"/>
    <w:uiPriority w:val="99"/>
    <w:semiHidden/>
    <w:unhideWhenUsed/>
    <w:rsid w:val="009213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13B0"/>
    <w:rPr>
      <w:position w:val="-4"/>
      <w:sz w:val="20"/>
      <w:szCs w:val="20"/>
    </w:rPr>
  </w:style>
  <w:style w:type="character" w:styleId="FootnoteReference">
    <w:name w:val="footnote reference"/>
    <w:basedOn w:val="DefaultParagraphFont"/>
    <w:uiPriority w:val="99"/>
    <w:semiHidden/>
    <w:unhideWhenUsed/>
    <w:rsid w:val="009213B0"/>
    <w:rPr>
      <w:vertAlign w:val="superscript"/>
    </w:rPr>
  </w:style>
  <w:style w:type="paragraph" w:styleId="ListParagraph">
    <w:name w:val="List Paragraph"/>
    <w:basedOn w:val="Normal"/>
    <w:uiPriority w:val="34"/>
    <w:qFormat/>
    <w:rsid w:val="009213B0"/>
    <w:pPr>
      <w:ind w:left="720"/>
      <w:contextualSpacing/>
    </w:pPr>
  </w:style>
  <w:style w:type="paragraph" w:styleId="BalloonText">
    <w:name w:val="Balloon Text"/>
    <w:basedOn w:val="Normal"/>
    <w:link w:val="BalloonTextChar"/>
    <w:uiPriority w:val="99"/>
    <w:semiHidden/>
    <w:unhideWhenUsed/>
    <w:rsid w:val="008630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075"/>
    <w:rPr>
      <w:rFonts w:ascii="Tahoma" w:hAnsi="Tahoma" w:cs="Tahoma"/>
      <w:position w:val="-4"/>
      <w:sz w:val="16"/>
      <w:szCs w:val="16"/>
    </w:rPr>
  </w:style>
  <w:style w:type="paragraph" w:styleId="Header">
    <w:name w:val="header"/>
    <w:basedOn w:val="Normal"/>
    <w:link w:val="HeaderChar"/>
    <w:uiPriority w:val="99"/>
    <w:unhideWhenUsed/>
    <w:rsid w:val="00F905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520"/>
    <w:rPr>
      <w:position w:val="-4"/>
    </w:rPr>
  </w:style>
  <w:style w:type="paragraph" w:styleId="Footer">
    <w:name w:val="footer"/>
    <w:basedOn w:val="Normal"/>
    <w:link w:val="FooterChar"/>
    <w:uiPriority w:val="99"/>
    <w:unhideWhenUsed/>
    <w:rsid w:val="00F905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520"/>
    <w:rPr>
      <w:position w:val="-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3B0"/>
    <w:rPr>
      <w:position w:val="-4"/>
    </w:rPr>
  </w:style>
  <w:style w:type="paragraph" w:styleId="Heading1">
    <w:name w:val="heading 1"/>
    <w:basedOn w:val="Normal"/>
    <w:next w:val="Normal"/>
    <w:link w:val="Heading1Char"/>
    <w:autoRedefine/>
    <w:qFormat/>
    <w:rsid w:val="000E496E"/>
    <w:pPr>
      <w:keepNext/>
      <w:keepLines/>
      <w:spacing w:before="480" w:after="0"/>
      <w:ind w:left="426" w:hanging="426"/>
      <w:outlineLvl w:val="0"/>
    </w:pPr>
    <w:rPr>
      <w:rFonts w:ascii="Algerian" w:eastAsiaTheme="majorEastAsia" w:hAnsi="Algerian" w:cstheme="majorBidi"/>
      <w:b/>
      <w:bCs/>
      <w:sz w:val="36"/>
      <w:szCs w:val="28"/>
    </w:rPr>
  </w:style>
  <w:style w:type="paragraph" w:styleId="Heading2">
    <w:name w:val="heading 2"/>
    <w:basedOn w:val="Normal"/>
    <w:next w:val="Normal"/>
    <w:link w:val="Heading2Char"/>
    <w:autoRedefine/>
    <w:unhideWhenUsed/>
    <w:qFormat/>
    <w:rsid w:val="001F0860"/>
    <w:pPr>
      <w:keepNext/>
      <w:keepLines/>
      <w:spacing w:before="200" w:after="0"/>
      <w:outlineLvl w:val="1"/>
    </w:pPr>
    <w:rPr>
      <w:rFonts w:ascii="Arial" w:eastAsiaTheme="majorEastAsia" w:hAnsi="Arial" w:cstheme="majorBidi"/>
      <w:b/>
      <w:bCs/>
      <w:sz w:val="32"/>
      <w:szCs w:val="26"/>
    </w:rPr>
  </w:style>
  <w:style w:type="paragraph" w:styleId="Heading3">
    <w:name w:val="heading 3"/>
    <w:basedOn w:val="Normal"/>
    <w:next w:val="Normal"/>
    <w:link w:val="Heading3Char"/>
    <w:autoRedefine/>
    <w:uiPriority w:val="99"/>
    <w:unhideWhenUsed/>
    <w:qFormat/>
    <w:rsid w:val="00D05371"/>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304DD8"/>
    <w:pPr>
      <w:keepNext/>
      <w:keepLines/>
      <w:spacing w:before="200" w:after="0"/>
      <w:outlineLvl w:val="3"/>
    </w:pPr>
    <w:rPr>
      <w:rFonts w:eastAsiaTheme="majorEastAsia"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C59"/>
    <w:pPr>
      <w:spacing w:after="0" w:line="240" w:lineRule="auto"/>
    </w:pPr>
    <w:rPr>
      <w:rFonts w:ascii="Cambria Math" w:hAnsi="Cambria Math"/>
    </w:rPr>
  </w:style>
  <w:style w:type="character" w:customStyle="1" w:styleId="Heading1Char">
    <w:name w:val="Heading 1 Char"/>
    <w:basedOn w:val="DefaultParagraphFont"/>
    <w:link w:val="Heading1"/>
    <w:rsid w:val="000E496E"/>
    <w:rPr>
      <w:rFonts w:ascii="Algerian" w:eastAsiaTheme="majorEastAsia" w:hAnsi="Algerian" w:cstheme="majorBidi"/>
      <w:b/>
      <w:bCs/>
      <w:sz w:val="36"/>
      <w:szCs w:val="28"/>
    </w:rPr>
  </w:style>
  <w:style w:type="character" w:customStyle="1" w:styleId="Heading2Char">
    <w:name w:val="Heading 2 Char"/>
    <w:basedOn w:val="DefaultParagraphFont"/>
    <w:link w:val="Heading2"/>
    <w:rsid w:val="001F0860"/>
    <w:rPr>
      <w:rFonts w:ascii="Arial" w:eastAsiaTheme="majorEastAsia" w:hAnsi="Arial" w:cstheme="majorBidi"/>
      <w:b/>
      <w:bCs/>
      <w:sz w:val="32"/>
      <w:szCs w:val="26"/>
    </w:rPr>
  </w:style>
  <w:style w:type="character" w:customStyle="1" w:styleId="Heading3Char">
    <w:name w:val="Heading 3 Char"/>
    <w:basedOn w:val="DefaultParagraphFont"/>
    <w:link w:val="Heading3"/>
    <w:uiPriority w:val="99"/>
    <w:rsid w:val="00D05371"/>
    <w:rPr>
      <w:rFonts w:ascii="Times New Roman" w:eastAsiaTheme="majorEastAsia" w:hAnsi="Times New Roman" w:cstheme="majorBidi"/>
      <w:b/>
      <w:bCs/>
      <w:sz w:val="28"/>
    </w:rPr>
  </w:style>
  <w:style w:type="character" w:customStyle="1" w:styleId="Heading4Char">
    <w:name w:val="Heading 4 Char"/>
    <w:basedOn w:val="DefaultParagraphFont"/>
    <w:link w:val="Heading4"/>
    <w:uiPriority w:val="9"/>
    <w:rsid w:val="00304DD8"/>
    <w:rPr>
      <w:rFonts w:ascii="Times New Roman" w:eastAsiaTheme="majorEastAsia" w:hAnsi="Times New Roman" w:cstheme="majorBidi"/>
      <w:b/>
      <w:bCs/>
      <w:i/>
      <w:iCs/>
      <w:sz w:val="24"/>
    </w:rPr>
  </w:style>
  <w:style w:type="table" w:styleId="TableGrid">
    <w:name w:val="Table Grid"/>
    <w:basedOn w:val="TableNormal"/>
    <w:uiPriority w:val="59"/>
    <w:rsid w:val="009213B0"/>
    <w:pPr>
      <w:spacing w:after="0" w:line="240" w:lineRule="auto"/>
    </w:pPr>
    <w:rPr>
      <w:position w:val="-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13B0"/>
    <w:pPr>
      <w:spacing w:before="100" w:beforeAutospacing="1" w:after="100" w:afterAutospacing="1" w:line="240" w:lineRule="auto"/>
    </w:pPr>
    <w:rPr>
      <w:rFonts w:eastAsia="Times New Roman" w:cs="Times New Roman"/>
      <w:position w:val="0"/>
      <w:szCs w:val="24"/>
    </w:rPr>
  </w:style>
  <w:style w:type="paragraph" w:styleId="FootnoteText">
    <w:name w:val="footnote text"/>
    <w:basedOn w:val="Normal"/>
    <w:link w:val="FootnoteTextChar"/>
    <w:uiPriority w:val="99"/>
    <w:semiHidden/>
    <w:unhideWhenUsed/>
    <w:rsid w:val="009213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13B0"/>
    <w:rPr>
      <w:position w:val="-4"/>
      <w:sz w:val="20"/>
      <w:szCs w:val="20"/>
    </w:rPr>
  </w:style>
  <w:style w:type="character" w:styleId="FootnoteReference">
    <w:name w:val="footnote reference"/>
    <w:basedOn w:val="DefaultParagraphFont"/>
    <w:uiPriority w:val="99"/>
    <w:semiHidden/>
    <w:unhideWhenUsed/>
    <w:rsid w:val="009213B0"/>
    <w:rPr>
      <w:vertAlign w:val="superscript"/>
    </w:rPr>
  </w:style>
  <w:style w:type="paragraph" w:styleId="ListParagraph">
    <w:name w:val="List Paragraph"/>
    <w:basedOn w:val="Normal"/>
    <w:uiPriority w:val="34"/>
    <w:qFormat/>
    <w:rsid w:val="009213B0"/>
    <w:pPr>
      <w:ind w:left="720"/>
      <w:contextualSpacing/>
    </w:pPr>
  </w:style>
  <w:style w:type="paragraph" w:styleId="BalloonText">
    <w:name w:val="Balloon Text"/>
    <w:basedOn w:val="Normal"/>
    <w:link w:val="BalloonTextChar"/>
    <w:uiPriority w:val="99"/>
    <w:semiHidden/>
    <w:unhideWhenUsed/>
    <w:rsid w:val="008630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075"/>
    <w:rPr>
      <w:rFonts w:ascii="Tahoma" w:hAnsi="Tahoma" w:cs="Tahoma"/>
      <w:position w:val="-4"/>
      <w:sz w:val="16"/>
      <w:szCs w:val="16"/>
    </w:rPr>
  </w:style>
  <w:style w:type="paragraph" w:styleId="Header">
    <w:name w:val="header"/>
    <w:basedOn w:val="Normal"/>
    <w:link w:val="HeaderChar"/>
    <w:uiPriority w:val="99"/>
    <w:unhideWhenUsed/>
    <w:rsid w:val="00F905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520"/>
    <w:rPr>
      <w:position w:val="-4"/>
    </w:rPr>
  </w:style>
  <w:style w:type="paragraph" w:styleId="Footer">
    <w:name w:val="footer"/>
    <w:basedOn w:val="Normal"/>
    <w:link w:val="FooterChar"/>
    <w:uiPriority w:val="99"/>
    <w:unhideWhenUsed/>
    <w:rsid w:val="00F905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520"/>
    <w:rPr>
      <w:positio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v>1st Year</c:v>
          </c:tx>
          <c:invertIfNegative val="0"/>
          <c:cat>
            <c:strRef>
              <c:f>Sheet1!$A$1:$A$8</c:f>
              <c:strCache>
                <c:ptCount val="8"/>
                <c:pt idx="0">
                  <c:v>0</c:v>
                </c:pt>
                <c:pt idx="1">
                  <c:v>1-5</c:v>
                </c:pt>
                <c:pt idx="2">
                  <c:v>6-10</c:v>
                </c:pt>
                <c:pt idx="3">
                  <c:v>11-15</c:v>
                </c:pt>
                <c:pt idx="4">
                  <c:v>16-20</c:v>
                </c:pt>
                <c:pt idx="5">
                  <c:v>21-25</c:v>
                </c:pt>
                <c:pt idx="6">
                  <c:v>26-30</c:v>
                </c:pt>
                <c:pt idx="7">
                  <c:v>&gt;30</c:v>
                </c:pt>
              </c:strCache>
            </c:strRef>
          </c:cat>
          <c:val>
            <c:numRef>
              <c:f>Sheet1!$B$1:$B$8</c:f>
              <c:numCache>
                <c:formatCode>General</c:formatCode>
                <c:ptCount val="8"/>
                <c:pt idx="0">
                  <c:v>3.2</c:v>
                </c:pt>
                <c:pt idx="1">
                  <c:v>38.799999999999997</c:v>
                </c:pt>
                <c:pt idx="2">
                  <c:v>25.8</c:v>
                </c:pt>
                <c:pt idx="3">
                  <c:v>15.4</c:v>
                </c:pt>
                <c:pt idx="4">
                  <c:v>8.1999999999999993</c:v>
                </c:pt>
                <c:pt idx="5">
                  <c:v>4.2</c:v>
                </c:pt>
                <c:pt idx="6">
                  <c:v>2</c:v>
                </c:pt>
                <c:pt idx="7">
                  <c:v>2.2000000000000002</c:v>
                </c:pt>
              </c:numCache>
            </c:numRef>
          </c:val>
        </c:ser>
        <c:ser>
          <c:idx val="1"/>
          <c:order val="1"/>
          <c:tx>
            <c:v>All</c:v>
          </c:tx>
          <c:invertIfNegative val="0"/>
          <c:val>
            <c:numRef>
              <c:f>Sheet1!$C$1:$C$8</c:f>
              <c:numCache>
                <c:formatCode>General</c:formatCode>
                <c:ptCount val="8"/>
                <c:pt idx="0">
                  <c:v>3</c:v>
                </c:pt>
                <c:pt idx="1">
                  <c:v>34.700000000000003</c:v>
                </c:pt>
                <c:pt idx="2">
                  <c:v>23.4</c:v>
                </c:pt>
                <c:pt idx="3">
                  <c:v>15.1</c:v>
                </c:pt>
                <c:pt idx="4">
                  <c:v>10.199999999999999</c:v>
                </c:pt>
                <c:pt idx="5">
                  <c:v>5.6</c:v>
                </c:pt>
                <c:pt idx="6">
                  <c:v>3.3</c:v>
                </c:pt>
                <c:pt idx="7">
                  <c:v>4.7</c:v>
                </c:pt>
              </c:numCache>
            </c:numRef>
          </c:val>
        </c:ser>
        <c:dLbls>
          <c:showLegendKey val="0"/>
          <c:showVal val="0"/>
          <c:showCatName val="0"/>
          <c:showSerName val="0"/>
          <c:showPercent val="0"/>
          <c:showBubbleSize val="0"/>
        </c:dLbls>
        <c:gapWidth val="150"/>
        <c:axId val="131893888"/>
        <c:axId val="156386048"/>
      </c:barChart>
      <c:catAx>
        <c:axId val="131893888"/>
        <c:scaling>
          <c:orientation val="minMax"/>
        </c:scaling>
        <c:delete val="0"/>
        <c:axPos val="b"/>
        <c:title>
          <c:tx>
            <c:rich>
              <a:bodyPr/>
              <a:lstStyle/>
              <a:p>
                <a:pPr>
                  <a:defRPr sz="1400" b="0">
                    <a:latin typeface="Arial" panose="020B0604020202020204" pitchFamily="34" charset="0"/>
                    <a:cs typeface="Arial" panose="020B0604020202020204" pitchFamily="34" charset="0"/>
                  </a:defRPr>
                </a:pPr>
                <a:r>
                  <a:rPr lang="en-US" sz="1400" b="0">
                    <a:latin typeface="Arial" panose="020B0604020202020204" pitchFamily="34" charset="0"/>
                    <a:cs typeface="Arial" panose="020B0604020202020204" pitchFamily="34" charset="0"/>
                  </a:rPr>
                  <a:t>Hours of study per week</a:t>
                </a:r>
              </a:p>
            </c:rich>
          </c:tx>
          <c:layout>
            <c:manualLayout>
              <c:xMode val="edge"/>
              <c:yMode val="edge"/>
              <c:x val="0.3008626421697288"/>
              <c:y val="0.86527777777777781"/>
            </c:manualLayout>
          </c:layout>
          <c:overlay val="0"/>
        </c:title>
        <c:majorTickMark val="out"/>
        <c:minorTickMark val="none"/>
        <c:tickLblPos val="nextTo"/>
        <c:crossAx val="156386048"/>
        <c:crosses val="autoZero"/>
        <c:auto val="1"/>
        <c:lblAlgn val="ctr"/>
        <c:lblOffset val="100"/>
        <c:noMultiLvlLbl val="0"/>
      </c:catAx>
      <c:valAx>
        <c:axId val="156386048"/>
        <c:scaling>
          <c:orientation val="minMax"/>
        </c:scaling>
        <c:delete val="0"/>
        <c:axPos val="l"/>
        <c:majorGridlines/>
        <c:title>
          <c:tx>
            <c:rich>
              <a:bodyPr rot="-5400000" vert="horz"/>
              <a:lstStyle/>
              <a:p>
                <a:pPr>
                  <a:defRPr sz="1400" b="0">
                    <a:latin typeface="Arial" panose="020B0604020202020204" pitchFamily="34" charset="0"/>
                    <a:cs typeface="Arial" panose="020B0604020202020204" pitchFamily="34" charset="0"/>
                  </a:defRPr>
                </a:pPr>
                <a:r>
                  <a:rPr lang="en-US" sz="1400" b="0">
                    <a:latin typeface="Arial" panose="020B0604020202020204" pitchFamily="34" charset="0"/>
                    <a:cs typeface="Arial" panose="020B0604020202020204" pitchFamily="34" charset="0"/>
                  </a:rPr>
                  <a:t>% of students</a:t>
                </a:r>
              </a:p>
            </c:rich>
          </c:tx>
          <c:layout>
            <c:manualLayout>
              <c:xMode val="edge"/>
              <c:yMode val="edge"/>
              <c:x val="1.1111111111111112E-2"/>
              <c:y val="0.19936533974919801"/>
            </c:manualLayout>
          </c:layout>
          <c:overlay val="0"/>
        </c:title>
        <c:numFmt formatCode="General" sourceLinked="1"/>
        <c:majorTickMark val="out"/>
        <c:minorTickMark val="none"/>
        <c:tickLblPos val="nextTo"/>
        <c:crossAx val="131893888"/>
        <c:crosses val="autoZero"/>
        <c:crossBetween val="between"/>
      </c:valAx>
      <c:spPr>
        <a:ln>
          <a:solidFill>
            <a:schemeClr val="tx1"/>
          </a:solidFill>
        </a:ln>
      </c:spPr>
    </c:plotArea>
    <c:legend>
      <c:legendPos val="r"/>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D0400-9BFC-48A9-A6BB-CCE6EDD41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7</Pages>
  <Words>2778</Words>
  <Characters>15841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Dublin City University</Company>
  <LinksUpToDate>false</LinksUpToDate>
  <CharactersWithSpaces>18582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Dublin City University</dc:creator>
  <cp:lastModifiedBy>Dublin City University</cp:lastModifiedBy>
  <cp:revision>12</cp:revision>
  <cp:lastPrinted>2016-01-15T15:15:00Z</cp:lastPrinted>
  <dcterms:created xsi:type="dcterms:W3CDTF">2016-01-15T12:47:00Z</dcterms:created>
  <dcterms:modified xsi:type="dcterms:W3CDTF">2016-01-17T08:29:00Z</dcterms:modified>
</cp:coreProperties>
</file>