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09" w:rsidRDefault="00CB3709" w:rsidP="00CB3709">
      <w:pPr>
        <w:rPr>
          <w:b/>
        </w:rPr>
      </w:pPr>
      <w:bookmarkStart w:id="0" w:name="_GoBack"/>
      <w:bookmarkEnd w:id="0"/>
      <w:r>
        <w:rPr>
          <w:b/>
        </w:rPr>
        <w:t>Opening Statement by Donal de Buitleir, Director of Publicpolicy.ie to Joint Oireachtas Committee on Education and Social Protection on Wednesday 21 January, 2015</w:t>
      </w:r>
    </w:p>
    <w:p w:rsidR="00CB3709" w:rsidRDefault="00CB3709" w:rsidP="005073AA">
      <w:pPr>
        <w:ind w:firstLine="720"/>
        <w:rPr>
          <w:b/>
        </w:rPr>
      </w:pPr>
    </w:p>
    <w:p w:rsidR="00B42D8D" w:rsidRDefault="005073AA" w:rsidP="005073AA">
      <w:pPr>
        <w:ind w:firstLine="720"/>
        <w:rPr>
          <w:b/>
        </w:rPr>
      </w:pPr>
      <w:r w:rsidRPr="005073AA">
        <w:rPr>
          <w:b/>
        </w:rPr>
        <w:t>The Impact of Social Protection Payments on Income Distribution</w:t>
      </w:r>
    </w:p>
    <w:p w:rsidR="005073AA" w:rsidRDefault="005073AA" w:rsidP="005073AA">
      <w:pPr>
        <w:rPr>
          <w:b/>
        </w:rPr>
      </w:pPr>
    </w:p>
    <w:p w:rsidR="005073AA" w:rsidRPr="003F0BF9" w:rsidRDefault="005073AA" w:rsidP="005073AA">
      <w:r w:rsidRPr="003F0BF9">
        <w:t>Evidence from the OECD shows that the distribution of income in Ireland before taxes and social</w:t>
      </w:r>
      <w:r>
        <w:rPr>
          <w:b/>
        </w:rPr>
        <w:t xml:space="preserve"> </w:t>
      </w:r>
      <w:r w:rsidRPr="003F0BF9">
        <w:t>transfers is the most unequal in the OECD; it is surprisingly</w:t>
      </w:r>
      <w:r w:rsidR="00815EE5">
        <w:t>,</w:t>
      </w:r>
      <w:r w:rsidRPr="003F0BF9">
        <w:t xml:space="preserve"> perhaps</w:t>
      </w:r>
      <w:r w:rsidR="00EA360B" w:rsidRPr="003F0BF9">
        <w:t xml:space="preserve">, </w:t>
      </w:r>
      <w:r w:rsidRPr="003F0BF9">
        <w:t>a little more unequal than that in the United States.</w:t>
      </w:r>
    </w:p>
    <w:p w:rsidR="005073AA" w:rsidRPr="003F0BF9" w:rsidRDefault="005073AA" w:rsidP="005073AA"/>
    <w:p w:rsidR="005073AA" w:rsidRPr="003F0BF9" w:rsidRDefault="005073AA" w:rsidP="005073AA">
      <w:r w:rsidRPr="003F0BF9">
        <w:t xml:space="preserve">We have the most progressive tax and transfer system in the OECD both absolutely and proportionately. As a result the post-tax and transfer system </w:t>
      </w:r>
      <w:r w:rsidR="003F0BF9">
        <w:t xml:space="preserve">reduces income </w:t>
      </w:r>
      <w:r w:rsidRPr="003F0BF9">
        <w:t>inequality to around the OECD average. The countries with the next most progressive systems are Finland and Denmark though these systems are considerably less progressive than ours.</w:t>
      </w:r>
    </w:p>
    <w:p w:rsidR="005073AA" w:rsidRPr="003F0BF9" w:rsidRDefault="005073AA" w:rsidP="005073AA"/>
    <w:p w:rsidR="005073AA" w:rsidRPr="003F0BF9" w:rsidRDefault="005073AA" w:rsidP="005073AA">
      <w:r w:rsidRPr="003F0BF9">
        <w:t>While the income tax system is highly progressive</w:t>
      </w:r>
      <w:r w:rsidR="00815EE5">
        <w:t>,</w:t>
      </w:r>
      <w:r w:rsidRPr="003F0BF9">
        <w:t xml:space="preserve"> the social protection system </w:t>
      </w:r>
      <w:r w:rsidR="000F6CCF" w:rsidRPr="003F0BF9">
        <w:t xml:space="preserve">plays a very important </w:t>
      </w:r>
      <w:r w:rsidR="003F0BF9">
        <w:t>role</w:t>
      </w:r>
      <w:r w:rsidR="000F6CCF" w:rsidRPr="003F0BF9">
        <w:t>.</w:t>
      </w:r>
    </w:p>
    <w:p w:rsidR="000F6CCF" w:rsidRPr="003F0BF9" w:rsidRDefault="000F6CCF" w:rsidP="005073AA"/>
    <w:p w:rsidR="000F6CCF" w:rsidRPr="003F0BF9" w:rsidRDefault="000F6CCF" w:rsidP="00EF4F1E">
      <w:r w:rsidRPr="003F0BF9">
        <w:t>The “at risk of poverty” rates pre-tax and transfers is 50.3% and this is reduced to 16.5% after taxes and transfers.</w:t>
      </w:r>
      <w:r w:rsidR="00EF4F1E">
        <w:t xml:space="preserve"> (Source: Survey of Income and Living Conditions 2012,</w:t>
      </w:r>
      <w:r w:rsidR="00373A6F">
        <w:t xml:space="preserve"> </w:t>
      </w:r>
      <w:r w:rsidR="00EF4F1E">
        <w:t>CSO)</w:t>
      </w:r>
      <w:r w:rsidR="00EF4F1E" w:rsidRPr="00EF4F1E">
        <w:t xml:space="preserve"> </w:t>
      </w:r>
    </w:p>
    <w:p w:rsidR="000F6CCF" w:rsidRPr="003F0BF9" w:rsidRDefault="000F6CCF" w:rsidP="005073AA"/>
    <w:p w:rsidR="00EF4F1E" w:rsidRPr="00CB3709" w:rsidRDefault="000F6CCF" w:rsidP="005073AA">
      <w:r w:rsidRPr="003F0BF9">
        <w:t xml:space="preserve">In the case of the elderly, the state pension is very important particularly for low income retirees who get 90 % of their income from the state pension. </w:t>
      </w:r>
      <w:r w:rsidR="00EA360B" w:rsidRPr="003F0BF9">
        <w:t xml:space="preserve">For </w:t>
      </w:r>
      <w:r w:rsidRPr="003F0BF9">
        <w:t>26 %</w:t>
      </w:r>
      <w:r w:rsidR="00EA360B" w:rsidRPr="003F0BF9">
        <w:t xml:space="preserve"> of these, their </w:t>
      </w:r>
      <w:r w:rsidRPr="003F0BF9">
        <w:t>only source of income is the state pension.</w:t>
      </w:r>
      <w:r w:rsidR="00EF4F1E">
        <w:t xml:space="preserve"> (</w:t>
      </w:r>
      <w:proofErr w:type="gramStart"/>
      <w:r w:rsidR="00EF4F1E">
        <w:t xml:space="preserve">Source </w:t>
      </w:r>
      <w:r w:rsidR="00EF4F1E" w:rsidRPr="00CB3709">
        <w:t>:</w:t>
      </w:r>
      <w:proofErr w:type="gramEnd"/>
      <w:r w:rsidR="00EF4F1E" w:rsidRPr="00CB3709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proofErr w:type="spellStart"/>
      <w:r w:rsidR="00EF4F1E" w:rsidRPr="00CB3709">
        <w:rPr>
          <w:rFonts w:ascii="Arial" w:hAnsi="Arial" w:cs="Arial"/>
          <w:sz w:val="18"/>
          <w:szCs w:val="18"/>
          <w:shd w:val="clear" w:color="auto" w:fill="FFFFFF"/>
        </w:rPr>
        <w:t>Nivakoski</w:t>
      </w:r>
      <w:proofErr w:type="spellEnd"/>
      <w:r w:rsidR="00EF4F1E" w:rsidRPr="00CB3709">
        <w:rPr>
          <w:rFonts w:ascii="Arial" w:hAnsi="Arial" w:cs="Arial"/>
          <w:sz w:val="18"/>
          <w:szCs w:val="18"/>
          <w:shd w:val="clear" w:color="auto" w:fill="FFFFFF"/>
        </w:rPr>
        <w:t xml:space="preserve">, S., &amp; Barrett, A. (2012). </w:t>
      </w:r>
      <w:proofErr w:type="gramStart"/>
      <w:r w:rsidR="00EF4F1E" w:rsidRPr="00CB3709">
        <w:rPr>
          <w:rFonts w:ascii="Arial" w:hAnsi="Arial" w:cs="Arial"/>
          <w:sz w:val="18"/>
          <w:szCs w:val="18"/>
          <w:shd w:val="clear" w:color="auto" w:fill="FFFFFF"/>
        </w:rPr>
        <w:t>“Supplementary Pensions and the Income of Ireland’s Retirees” Data from The Irish Longitudinal Study on Ageing</w:t>
      </w:r>
      <w:r w:rsidR="00EF4F1E" w:rsidRPr="00CB3709">
        <w:rPr>
          <w:rStyle w:val="apple-converted-space"/>
          <w:rFonts w:ascii="Arial" w:hAnsi="Arial" w:cs="Arial"/>
          <w:sz w:val="18"/>
          <w:szCs w:val="18"/>
          <w:shd w:val="clear" w:color="auto" w:fill="FFFFFF"/>
        </w:rPr>
        <w:t> </w:t>
      </w:r>
      <w:hyperlink r:id="rId8" w:history="1">
        <w:r w:rsidR="00EF4F1E" w:rsidRPr="00CB3709">
          <w:rPr>
            <w:rStyle w:val="Hyperlink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TILDA)</w:t>
        </w:r>
      </w:hyperlink>
      <w:r w:rsidR="00EF4F1E" w:rsidRPr="00CB3709">
        <w:rPr>
          <w:rFonts w:ascii="Arial" w:hAnsi="Arial" w:cs="Arial"/>
          <w:sz w:val="14"/>
          <w:szCs w:val="14"/>
          <w:shd w:val="clear" w:color="auto" w:fill="FFFFFF"/>
          <w:vertAlign w:val="superscript"/>
        </w:rPr>
        <w:t>.</w:t>
      </w:r>
      <w:proofErr w:type="gramEnd"/>
    </w:p>
    <w:p w:rsidR="004D5081" w:rsidRDefault="004D5081" w:rsidP="005073AA"/>
    <w:p w:rsidR="000F6CCF" w:rsidRPr="003F0BF9" w:rsidRDefault="000F6CCF" w:rsidP="005073AA">
      <w:r w:rsidRPr="003F0BF9">
        <w:t>The sustainability of the state pension is critically important.</w:t>
      </w:r>
    </w:p>
    <w:p w:rsidR="00EA360B" w:rsidRDefault="00EA360B" w:rsidP="005073AA">
      <w:pPr>
        <w:rPr>
          <w:b/>
        </w:rPr>
      </w:pPr>
    </w:p>
    <w:p w:rsidR="00EA360B" w:rsidRDefault="00EA360B" w:rsidP="005073AA">
      <w:pPr>
        <w:rPr>
          <w:b/>
        </w:rPr>
      </w:pPr>
      <w:r>
        <w:rPr>
          <w:b/>
        </w:rPr>
        <w:t>Bottom Decile</w:t>
      </w:r>
    </w:p>
    <w:p w:rsidR="00EA360B" w:rsidRPr="003F0BF9" w:rsidRDefault="00EA360B" w:rsidP="005073AA">
      <w:r w:rsidRPr="003F0BF9">
        <w:t>Much attention is focussed on the bottom 10 % of the population</w:t>
      </w:r>
      <w:r w:rsidR="003F0BF9" w:rsidRPr="003F0BF9">
        <w:t>. This Group has some puzzling features.</w:t>
      </w:r>
    </w:p>
    <w:p w:rsidR="003F0BF9" w:rsidRDefault="003F0BF9" w:rsidP="005073AA"/>
    <w:p w:rsidR="003F0BF9" w:rsidRDefault="003F0BF9" w:rsidP="005073AA">
      <w:pPr>
        <w:rPr>
          <w:rFonts w:cstheme="minorHAnsi"/>
        </w:rPr>
      </w:pPr>
      <w:r>
        <w:rPr>
          <w:rFonts w:cstheme="minorHAnsi"/>
        </w:rPr>
        <w:t>Only 60 per cent have medical cards compared to</w:t>
      </w:r>
      <w:r w:rsidR="00EF4F1E">
        <w:rPr>
          <w:rFonts w:cstheme="minorHAnsi"/>
        </w:rPr>
        <w:t xml:space="preserve"> 74 percent in the third decile and t</w:t>
      </w:r>
      <w:r>
        <w:rPr>
          <w:rFonts w:cstheme="minorHAnsi"/>
        </w:rPr>
        <w:t>heir recorded expenditure is 186 % of their recorded income.</w:t>
      </w:r>
      <w:r w:rsidR="00EF4F1E">
        <w:rPr>
          <w:rFonts w:cstheme="minorHAnsi"/>
        </w:rPr>
        <w:t xml:space="preserve"> (Source: Household Budget Survey 2009-10, CSO)</w:t>
      </w:r>
    </w:p>
    <w:p w:rsidR="003F0BF9" w:rsidRDefault="003F0BF9" w:rsidP="003F0BF9"/>
    <w:p w:rsidR="0016596C" w:rsidRDefault="0016596C" w:rsidP="003F0BF9"/>
    <w:p w:rsidR="0016596C" w:rsidRDefault="0016596C" w:rsidP="003F0BF9"/>
    <w:p w:rsidR="0016596C" w:rsidRDefault="0016596C" w:rsidP="003F0BF9"/>
    <w:p w:rsidR="0016596C" w:rsidRDefault="0016596C" w:rsidP="003F0BF9"/>
    <w:p w:rsidR="003F0BF9" w:rsidRDefault="003F0BF9" w:rsidP="003F0BF9">
      <w:pPr>
        <w:rPr>
          <w:rFonts w:cstheme="minorHAnsi"/>
        </w:rPr>
      </w:pPr>
      <w:r w:rsidRPr="003F0BF9">
        <w:lastRenderedPageBreak/>
        <w:t>Their recorded income is less than the</w:t>
      </w:r>
      <w:r>
        <w:rPr>
          <w:b/>
        </w:rPr>
        <w:t xml:space="preserve"> </w:t>
      </w:r>
      <w:r w:rsidRPr="00DC14F2">
        <w:rPr>
          <w:rFonts w:cstheme="minorHAnsi"/>
        </w:rPr>
        <w:t>Basic Supplementary Welfare Allowance</w:t>
      </w:r>
      <w:r w:rsidRPr="00DC14F2">
        <w:rPr>
          <w:rStyle w:val="FootnoteReference"/>
          <w:rFonts w:cstheme="minorHAnsi"/>
        </w:rPr>
        <w:footnoteReference w:id="1"/>
      </w:r>
      <w:r w:rsidRPr="00DC14F2">
        <w:rPr>
          <w:rFonts w:cstheme="minorHAnsi"/>
        </w:rPr>
        <w:t xml:space="preserve"> plus Child </w:t>
      </w:r>
      <w:proofErr w:type="gramStart"/>
      <w:r w:rsidRPr="00DC14F2">
        <w:rPr>
          <w:rFonts w:cstheme="minorHAnsi"/>
        </w:rPr>
        <w:t xml:space="preserve">Benefit </w:t>
      </w:r>
      <w:r>
        <w:rPr>
          <w:rFonts w:cstheme="minorHAnsi"/>
        </w:rPr>
        <w:t xml:space="preserve"> where</w:t>
      </w:r>
      <w:proofErr w:type="gramEnd"/>
      <w:r>
        <w:rPr>
          <w:rFonts w:cstheme="minorHAnsi"/>
        </w:rPr>
        <w:t xml:space="preserve"> appropriate.</w:t>
      </w:r>
      <w:r w:rsidR="00EF4F1E">
        <w:rPr>
          <w:rFonts w:cstheme="minorHAnsi"/>
        </w:rPr>
        <w:t>(Source: Own calculations)</w:t>
      </w:r>
    </w:p>
    <w:p w:rsidR="0016596C" w:rsidRDefault="0016596C" w:rsidP="003F0BF9">
      <w:pPr>
        <w:rPr>
          <w:rFonts w:cstheme="minorHAnsi"/>
        </w:rPr>
      </w:pPr>
    </w:p>
    <w:p w:rsidR="003F0BF9" w:rsidRDefault="003F0BF9" w:rsidP="003F0BF9">
      <w:pPr>
        <w:rPr>
          <w:rFonts w:cstheme="minorHAnsi"/>
        </w:rPr>
      </w:pPr>
      <w:r>
        <w:rPr>
          <w:rFonts w:cstheme="minorHAnsi"/>
        </w:rPr>
        <w:t>As a result it is clear that those in the bottom decile are not in receipt of basic social welfare benefits. Possible reasons for this include.</w:t>
      </w:r>
    </w:p>
    <w:p w:rsidR="003F0BF9" w:rsidRDefault="003F0BF9" w:rsidP="003F0BF9">
      <w:pPr>
        <w:rPr>
          <w:rFonts w:cstheme="minorHAnsi"/>
        </w:rPr>
      </w:pPr>
    </w:p>
    <w:p w:rsidR="003F0BF9" w:rsidRPr="00364BB2" w:rsidRDefault="003F0BF9" w:rsidP="003F0BF9">
      <w:pPr>
        <w:pStyle w:val="ListParagraph"/>
        <w:numPr>
          <w:ilvl w:val="0"/>
          <w:numId w:val="1"/>
        </w:numPr>
        <w:rPr>
          <w:rFonts w:cstheme="minorHAnsi"/>
        </w:rPr>
      </w:pPr>
      <w:r w:rsidRPr="00364BB2">
        <w:rPr>
          <w:rFonts w:cstheme="minorHAnsi"/>
        </w:rPr>
        <w:t>They are entitled to benefits but are not claiming them.</w:t>
      </w:r>
    </w:p>
    <w:p w:rsidR="003F0BF9" w:rsidRPr="00364BB2" w:rsidRDefault="003F0BF9" w:rsidP="003F0BF9">
      <w:pPr>
        <w:pStyle w:val="ListParagraph"/>
        <w:numPr>
          <w:ilvl w:val="0"/>
          <w:numId w:val="1"/>
        </w:numPr>
        <w:rPr>
          <w:rFonts w:cstheme="minorHAnsi"/>
        </w:rPr>
      </w:pPr>
      <w:r w:rsidRPr="00364BB2">
        <w:rPr>
          <w:rFonts w:cstheme="minorHAnsi"/>
        </w:rPr>
        <w:t>They are not entitled to benefits because while their income is low they fail the means test due to their holdings of assets.</w:t>
      </w:r>
    </w:p>
    <w:p w:rsidR="003F0BF9" w:rsidRPr="00364BB2" w:rsidRDefault="003F0BF9" w:rsidP="003F0BF9">
      <w:pPr>
        <w:pStyle w:val="ListParagraph"/>
        <w:numPr>
          <w:ilvl w:val="0"/>
          <w:numId w:val="1"/>
        </w:numPr>
        <w:rPr>
          <w:rFonts w:cstheme="minorHAnsi"/>
        </w:rPr>
      </w:pPr>
      <w:r w:rsidRPr="00364BB2">
        <w:rPr>
          <w:rFonts w:cstheme="minorHAnsi"/>
        </w:rPr>
        <w:t>They are self-employed and making very low incomes or losses during the survey period.</w:t>
      </w:r>
    </w:p>
    <w:p w:rsidR="003F0BF9" w:rsidRDefault="003F0BF9" w:rsidP="003F0BF9">
      <w:pPr>
        <w:pStyle w:val="ListParagraph"/>
        <w:numPr>
          <w:ilvl w:val="0"/>
          <w:numId w:val="1"/>
        </w:numPr>
        <w:rPr>
          <w:rFonts w:cstheme="minorHAnsi"/>
        </w:rPr>
      </w:pPr>
      <w:r w:rsidRPr="00364BB2">
        <w:rPr>
          <w:rFonts w:cstheme="minorHAnsi"/>
        </w:rPr>
        <w:t>They are in full-time education</w:t>
      </w:r>
      <w:r>
        <w:rPr>
          <w:rFonts w:cstheme="minorHAnsi"/>
        </w:rPr>
        <w:t>.</w:t>
      </w:r>
    </w:p>
    <w:p w:rsidR="00EF4F1E" w:rsidRDefault="00EF4F1E" w:rsidP="00EF4F1E">
      <w:pPr>
        <w:rPr>
          <w:rFonts w:cstheme="minorHAnsi"/>
        </w:rPr>
      </w:pPr>
    </w:p>
    <w:p w:rsidR="00EF4F1E" w:rsidRDefault="00752213" w:rsidP="00EF4F1E">
      <w:pPr>
        <w:rPr>
          <w:rFonts w:cstheme="minorHAnsi"/>
          <w:b/>
        </w:rPr>
      </w:pPr>
      <w:proofErr w:type="gramStart"/>
      <w:r>
        <w:rPr>
          <w:rFonts w:cstheme="minorHAnsi"/>
          <w:b/>
        </w:rPr>
        <w:t xml:space="preserve">Workless </w:t>
      </w:r>
      <w:r w:rsidR="00EF4F1E" w:rsidRPr="00EF4F1E">
        <w:rPr>
          <w:rFonts w:cstheme="minorHAnsi"/>
          <w:b/>
        </w:rPr>
        <w:t xml:space="preserve"> Households</w:t>
      </w:r>
      <w:proofErr w:type="gramEnd"/>
    </w:p>
    <w:p w:rsidR="00752213" w:rsidRPr="00E26023" w:rsidRDefault="00752213" w:rsidP="00EF4F1E">
      <w:pPr>
        <w:rPr>
          <w:rFonts w:cstheme="minorHAnsi"/>
          <w:color w:val="000000"/>
        </w:rPr>
      </w:pPr>
      <w:r w:rsidRPr="00E26023">
        <w:rPr>
          <w:rFonts w:cstheme="minorHAnsi"/>
        </w:rPr>
        <w:t xml:space="preserve">One of the </w:t>
      </w:r>
      <w:r w:rsidR="00E26023" w:rsidRPr="00E26023">
        <w:rPr>
          <w:rFonts w:cstheme="minorHAnsi"/>
        </w:rPr>
        <w:t xml:space="preserve">disturbing </w:t>
      </w:r>
      <w:r w:rsidRPr="00E26023">
        <w:rPr>
          <w:rFonts w:cstheme="minorHAnsi"/>
        </w:rPr>
        <w:t xml:space="preserve">features in Ireland is the very high proportion of workless households. This refers to </w:t>
      </w:r>
      <w:r w:rsidRPr="00E26023">
        <w:rPr>
          <w:rFonts w:cstheme="minorHAnsi"/>
          <w:color w:val="000000"/>
        </w:rPr>
        <w:t>households where the adults (aged up to 59) work less than 20% of their total work potential during the past year.</w:t>
      </w:r>
    </w:p>
    <w:p w:rsidR="00E26023" w:rsidRDefault="00E26023" w:rsidP="00EF4F1E">
      <w:pPr>
        <w:rPr>
          <w:rFonts w:cstheme="minorHAnsi"/>
          <w:color w:val="000000"/>
        </w:rPr>
      </w:pPr>
    </w:p>
    <w:p w:rsidR="00752213" w:rsidRDefault="00752213" w:rsidP="00EF4F1E">
      <w:pPr>
        <w:rPr>
          <w:rFonts w:cstheme="minorHAnsi"/>
          <w:color w:val="000000"/>
        </w:rPr>
      </w:pPr>
      <w:r w:rsidRPr="00E26023">
        <w:rPr>
          <w:rFonts w:cstheme="minorHAnsi"/>
          <w:color w:val="000000"/>
        </w:rPr>
        <w:t xml:space="preserve">Almost one in four Irish households </w:t>
      </w:r>
      <w:proofErr w:type="gramStart"/>
      <w:r w:rsidRPr="00E26023">
        <w:rPr>
          <w:rFonts w:cstheme="minorHAnsi"/>
          <w:color w:val="000000"/>
        </w:rPr>
        <w:t>are</w:t>
      </w:r>
      <w:proofErr w:type="gramEnd"/>
      <w:r w:rsidRPr="00E26023">
        <w:rPr>
          <w:rFonts w:cstheme="minorHAnsi"/>
          <w:color w:val="000000"/>
        </w:rPr>
        <w:t xml:space="preserve"> in this category (23.4%). This is by far the highest in the EU and is over twice the EU average (10.7%). Even in 2008 the number was</w:t>
      </w:r>
      <w:r w:rsidR="00E26023" w:rsidRPr="00E26023">
        <w:rPr>
          <w:rFonts w:cstheme="minorHAnsi"/>
          <w:color w:val="000000"/>
        </w:rPr>
        <w:t xml:space="preserve"> very high at 13.7%</w:t>
      </w:r>
      <w:r w:rsidR="00E26023">
        <w:rPr>
          <w:rFonts w:cstheme="minorHAnsi"/>
          <w:color w:val="000000"/>
        </w:rPr>
        <w:t xml:space="preserve"> </w:t>
      </w:r>
      <w:r w:rsidR="00E26023" w:rsidRPr="00E26023">
        <w:rPr>
          <w:rFonts w:cstheme="minorHAnsi"/>
          <w:color w:val="000000"/>
        </w:rPr>
        <w:t xml:space="preserve">(almost 1 in </w:t>
      </w:r>
      <w:r w:rsidRPr="00E26023">
        <w:rPr>
          <w:rFonts w:cstheme="minorHAnsi"/>
          <w:color w:val="000000"/>
        </w:rPr>
        <w:t>7)</w:t>
      </w:r>
      <w:r w:rsidR="00E26023" w:rsidRPr="00E26023">
        <w:rPr>
          <w:rFonts w:cstheme="minorHAnsi"/>
          <w:color w:val="000000"/>
        </w:rPr>
        <w:t xml:space="preserve">. Adults in this category disproportionately have low education, </w:t>
      </w:r>
      <w:r w:rsidR="004D5081">
        <w:rPr>
          <w:rFonts w:cstheme="minorHAnsi"/>
          <w:color w:val="000000"/>
        </w:rPr>
        <w:t xml:space="preserve">are unskilled, </w:t>
      </w:r>
      <w:r w:rsidR="00E26023" w:rsidRPr="00E26023">
        <w:rPr>
          <w:rFonts w:cstheme="minorHAnsi"/>
          <w:color w:val="000000"/>
        </w:rPr>
        <w:t xml:space="preserve">are </w:t>
      </w:r>
      <w:r w:rsidR="004D5081">
        <w:rPr>
          <w:rFonts w:cstheme="minorHAnsi"/>
          <w:color w:val="000000"/>
        </w:rPr>
        <w:t>lone</w:t>
      </w:r>
      <w:r w:rsidR="00E26023" w:rsidRPr="00E26023">
        <w:rPr>
          <w:rFonts w:cstheme="minorHAnsi"/>
          <w:color w:val="000000"/>
        </w:rPr>
        <w:t xml:space="preserve"> parents or carers or have a disability.</w:t>
      </w:r>
      <w:r w:rsidR="0016596C">
        <w:rPr>
          <w:rFonts w:cstheme="minorHAnsi"/>
          <w:color w:val="000000"/>
        </w:rPr>
        <w:t xml:space="preserve"> </w:t>
      </w:r>
    </w:p>
    <w:p w:rsidR="00CB3709" w:rsidRDefault="00CB3709" w:rsidP="00EF4F1E">
      <w:pPr>
        <w:rPr>
          <w:rFonts w:cstheme="minorHAnsi"/>
        </w:rPr>
      </w:pPr>
    </w:p>
    <w:p w:rsidR="0016596C" w:rsidRPr="00E26023" w:rsidRDefault="00BA2A1E" w:rsidP="00EF4F1E">
      <w:pPr>
        <w:rPr>
          <w:rFonts w:cstheme="minorHAnsi"/>
        </w:rPr>
      </w:pPr>
      <w:r>
        <w:rPr>
          <w:rFonts w:cstheme="minorHAnsi"/>
        </w:rPr>
        <w:t>This is a</w:t>
      </w:r>
      <w:r w:rsidR="00CB3709">
        <w:rPr>
          <w:rFonts w:cstheme="minorHAnsi"/>
        </w:rPr>
        <w:t xml:space="preserve"> complex </w:t>
      </w:r>
      <w:r>
        <w:rPr>
          <w:rFonts w:cstheme="minorHAnsi"/>
        </w:rPr>
        <w:t xml:space="preserve">issue </w:t>
      </w:r>
      <w:r w:rsidR="00CB3709">
        <w:rPr>
          <w:rFonts w:cstheme="minorHAnsi"/>
        </w:rPr>
        <w:t xml:space="preserve">and we need to increase our understanding of the barriers to work affecting this group if we are to tackle the problem. </w:t>
      </w:r>
    </w:p>
    <w:p w:rsidR="00752213" w:rsidRPr="00EF4F1E" w:rsidRDefault="00752213" w:rsidP="00EF4F1E">
      <w:pPr>
        <w:rPr>
          <w:rFonts w:cstheme="minorHAnsi"/>
          <w:b/>
        </w:rPr>
      </w:pPr>
    </w:p>
    <w:p w:rsidR="003F0BF9" w:rsidRDefault="003F0BF9" w:rsidP="003F0BF9">
      <w:pPr>
        <w:rPr>
          <w:rFonts w:cstheme="minorHAnsi"/>
        </w:rPr>
      </w:pPr>
    </w:p>
    <w:p w:rsidR="003F0BF9" w:rsidRDefault="003F0BF9" w:rsidP="005073AA">
      <w:pPr>
        <w:rPr>
          <w:rFonts w:cstheme="minorHAnsi"/>
        </w:rPr>
      </w:pPr>
    </w:p>
    <w:p w:rsidR="003F0BF9" w:rsidRDefault="003F0BF9" w:rsidP="005073AA">
      <w:pPr>
        <w:rPr>
          <w:b/>
        </w:rPr>
      </w:pPr>
    </w:p>
    <w:p w:rsidR="000F6CCF" w:rsidRDefault="000F6CCF" w:rsidP="005073AA">
      <w:pPr>
        <w:rPr>
          <w:b/>
        </w:rPr>
      </w:pPr>
    </w:p>
    <w:p w:rsidR="000F6CCF" w:rsidRPr="005073AA" w:rsidRDefault="000F6CCF" w:rsidP="005073AA">
      <w:pPr>
        <w:rPr>
          <w:b/>
        </w:rPr>
      </w:pPr>
    </w:p>
    <w:p w:rsidR="005073AA" w:rsidRDefault="005073AA"/>
    <w:sectPr w:rsidR="005073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BF9" w:rsidRDefault="003F0BF9" w:rsidP="003F0BF9">
      <w:pPr>
        <w:spacing w:line="240" w:lineRule="auto"/>
      </w:pPr>
      <w:r>
        <w:separator/>
      </w:r>
    </w:p>
  </w:endnote>
  <w:endnote w:type="continuationSeparator" w:id="0">
    <w:p w:rsidR="003F0BF9" w:rsidRDefault="003F0BF9" w:rsidP="003F0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BF9" w:rsidRDefault="003F0BF9" w:rsidP="003F0BF9">
      <w:pPr>
        <w:spacing w:line="240" w:lineRule="auto"/>
      </w:pPr>
      <w:r>
        <w:separator/>
      </w:r>
    </w:p>
  </w:footnote>
  <w:footnote w:type="continuationSeparator" w:id="0">
    <w:p w:rsidR="003F0BF9" w:rsidRDefault="003F0BF9" w:rsidP="003F0BF9">
      <w:pPr>
        <w:spacing w:line="240" w:lineRule="auto"/>
      </w:pPr>
      <w:r>
        <w:continuationSeparator/>
      </w:r>
    </w:p>
  </w:footnote>
  <w:footnote w:id="1">
    <w:p w:rsidR="003F0BF9" w:rsidRDefault="003F0BF9" w:rsidP="003F0BF9">
      <w:r>
        <w:rPr>
          <w:rStyle w:val="FootnoteReference"/>
        </w:rPr>
        <w:footnoteRef/>
      </w:r>
      <w:r>
        <w:t xml:space="preserve"> Supplementary Welfare Allowance provides a basic weekly allowance to eligible people who have</w:t>
      </w:r>
    </w:p>
    <w:p w:rsidR="003F0BF9" w:rsidRDefault="003F0BF9" w:rsidP="003F0BF9">
      <w:proofErr w:type="gramStart"/>
      <w:r>
        <w:t>little</w:t>
      </w:r>
      <w:proofErr w:type="gramEnd"/>
      <w:r>
        <w:t xml:space="preserve"> or no income. This is a means tested payment and the provision of Basic SWA payment (BSWA)</w:t>
      </w:r>
    </w:p>
    <w:p w:rsidR="003F0BF9" w:rsidRDefault="003F0BF9" w:rsidP="003F0BF9">
      <w:proofErr w:type="gramStart"/>
      <w:r>
        <w:t>is</w:t>
      </w:r>
      <w:proofErr w:type="gramEnd"/>
      <w:r>
        <w:t xml:space="preserve"> very similar to the provision of primary payments such as Jobseekers Assistance.  People with low incomes may also qualify for a weekly supplement payment under the Supplementary Welfare Allowance Scheme to meet certain special needs, for example, help with rent/mortgage interest payments or for urgent or exceptional needs.  In 2013 supplementary welfare payments totalling €626.4 million were made to 304,492 recipients</w:t>
      </w:r>
    </w:p>
    <w:p w:rsidR="003F0BF9" w:rsidRDefault="003F0BF9" w:rsidP="003F0BF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30955"/>
    <w:multiLevelType w:val="hybridMultilevel"/>
    <w:tmpl w:val="7716079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3AA"/>
    <w:rsid w:val="000011EC"/>
    <w:rsid w:val="00006AF2"/>
    <w:rsid w:val="00024564"/>
    <w:rsid w:val="000323DA"/>
    <w:rsid w:val="0006340E"/>
    <w:rsid w:val="00072EBA"/>
    <w:rsid w:val="000763D7"/>
    <w:rsid w:val="00077D27"/>
    <w:rsid w:val="00092A09"/>
    <w:rsid w:val="00093451"/>
    <w:rsid w:val="000939CD"/>
    <w:rsid w:val="00095AB4"/>
    <w:rsid w:val="000C4CBA"/>
    <w:rsid w:val="000C58B0"/>
    <w:rsid w:val="000F6CCF"/>
    <w:rsid w:val="0010799C"/>
    <w:rsid w:val="00112353"/>
    <w:rsid w:val="001123D6"/>
    <w:rsid w:val="00121242"/>
    <w:rsid w:val="001261C6"/>
    <w:rsid w:val="00141657"/>
    <w:rsid w:val="00154E0A"/>
    <w:rsid w:val="0016596C"/>
    <w:rsid w:val="0017711F"/>
    <w:rsid w:val="001A0496"/>
    <w:rsid w:val="001A3FD7"/>
    <w:rsid w:val="001B1409"/>
    <w:rsid w:val="001B2FA9"/>
    <w:rsid w:val="001B61E4"/>
    <w:rsid w:val="001D5C74"/>
    <w:rsid w:val="00203637"/>
    <w:rsid w:val="002111E1"/>
    <w:rsid w:val="0021762A"/>
    <w:rsid w:val="00221300"/>
    <w:rsid w:val="002225BB"/>
    <w:rsid w:val="00232FC3"/>
    <w:rsid w:val="00245076"/>
    <w:rsid w:val="00263632"/>
    <w:rsid w:val="00286E19"/>
    <w:rsid w:val="00292563"/>
    <w:rsid w:val="00292921"/>
    <w:rsid w:val="002D1446"/>
    <w:rsid w:val="002E7C8C"/>
    <w:rsid w:val="003063E4"/>
    <w:rsid w:val="00326CAD"/>
    <w:rsid w:val="003379B3"/>
    <w:rsid w:val="00344881"/>
    <w:rsid w:val="00371A1A"/>
    <w:rsid w:val="00371C31"/>
    <w:rsid w:val="00373A6F"/>
    <w:rsid w:val="003753BD"/>
    <w:rsid w:val="00377F7F"/>
    <w:rsid w:val="003950AE"/>
    <w:rsid w:val="003A70EC"/>
    <w:rsid w:val="003C3F04"/>
    <w:rsid w:val="003D1A76"/>
    <w:rsid w:val="003D4F42"/>
    <w:rsid w:val="003E75BA"/>
    <w:rsid w:val="003F0BF9"/>
    <w:rsid w:val="003F67EF"/>
    <w:rsid w:val="004135DF"/>
    <w:rsid w:val="00415ED8"/>
    <w:rsid w:val="0042053B"/>
    <w:rsid w:val="00423F5A"/>
    <w:rsid w:val="00460C3E"/>
    <w:rsid w:val="004610ED"/>
    <w:rsid w:val="00464883"/>
    <w:rsid w:val="0046638F"/>
    <w:rsid w:val="00467988"/>
    <w:rsid w:val="00470B46"/>
    <w:rsid w:val="00477458"/>
    <w:rsid w:val="00480BD1"/>
    <w:rsid w:val="004824FC"/>
    <w:rsid w:val="004833FB"/>
    <w:rsid w:val="0048553A"/>
    <w:rsid w:val="004870CB"/>
    <w:rsid w:val="004908CC"/>
    <w:rsid w:val="0049352E"/>
    <w:rsid w:val="00497833"/>
    <w:rsid w:val="004D5081"/>
    <w:rsid w:val="004E083F"/>
    <w:rsid w:val="004F51D2"/>
    <w:rsid w:val="005012D8"/>
    <w:rsid w:val="0050651D"/>
    <w:rsid w:val="005073AA"/>
    <w:rsid w:val="00507C97"/>
    <w:rsid w:val="00510532"/>
    <w:rsid w:val="0051348A"/>
    <w:rsid w:val="005170AF"/>
    <w:rsid w:val="005202F2"/>
    <w:rsid w:val="00523042"/>
    <w:rsid w:val="005272D9"/>
    <w:rsid w:val="00536AA2"/>
    <w:rsid w:val="005566EB"/>
    <w:rsid w:val="00556DDE"/>
    <w:rsid w:val="0056593E"/>
    <w:rsid w:val="00582B78"/>
    <w:rsid w:val="00584491"/>
    <w:rsid w:val="00586690"/>
    <w:rsid w:val="005A3173"/>
    <w:rsid w:val="005B4B9F"/>
    <w:rsid w:val="005C4F3F"/>
    <w:rsid w:val="005C6754"/>
    <w:rsid w:val="005C740F"/>
    <w:rsid w:val="005E05EA"/>
    <w:rsid w:val="005E4331"/>
    <w:rsid w:val="005F33D0"/>
    <w:rsid w:val="005F36D7"/>
    <w:rsid w:val="00617D49"/>
    <w:rsid w:val="00623692"/>
    <w:rsid w:val="006306D2"/>
    <w:rsid w:val="006416CE"/>
    <w:rsid w:val="006449C0"/>
    <w:rsid w:val="00673AB7"/>
    <w:rsid w:val="00675392"/>
    <w:rsid w:val="00675988"/>
    <w:rsid w:val="006769CC"/>
    <w:rsid w:val="00681B81"/>
    <w:rsid w:val="00686110"/>
    <w:rsid w:val="006910C1"/>
    <w:rsid w:val="006A0260"/>
    <w:rsid w:val="006A2BE3"/>
    <w:rsid w:val="006C56D5"/>
    <w:rsid w:val="006C582C"/>
    <w:rsid w:val="006D2822"/>
    <w:rsid w:val="006E1250"/>
    <w:rsid w:val="006E2923"/>
    <w:rsid w:val="006F03AB"/>
    <w:rsid w:val="006F4439"/>
    <w:rsid w:val="006F5E84"/>
    <w:rsid w:val="006F5F83"/>
    <w:rsid w:val="006F7EEB"/>
    <w:rsid w:val="007055C6"/>
    <w:rsid w:val="00711486"/>
    <w:rsid w:val="00721CC6"/>
    <w:rsid w:val="0072444E"/>
    <w:rsid w:val="0073005F"/>
    <w:rsid w:val="007346AB"/>
    <w:rsid w:val="00752213"/>
    <w:rsid w:val="00760B1C"/>
    <w:rsid w:val="00771973"/>
    <w:rsid w:val="00776E77"/>
    <w:rsid w:val="007819CE"/>
    <w:rsid w:val="007929A0"/>
    <w:rsid w:val="007B3277"/>
    <w:rsid w:val="007C2693"/>
    <w:rsid w:val="007D40F2"/>
    <w:rsid w:val="007E1B3E"/>
    <w:rsid w:val="00815EE5"/>
    <w:rsid w:val="0082014F"/>
    <w:rsid w:val="008400D0"/>
    <w:rsid w:val="0084550E"/>
    <w:rsid w:val="008461CD"/>
    <w:rsid w:val="008534F9"/>
    <w:rsid w:val="00862776"/>
    <w:rsid w:val="0087205C"/>
    <w:rsid w:val="008867DC"/>
    <w:rsid w:val="008A5C17"/>
    <w:rsid w:val="008B1453"/>
    <w:rsid w:val="008C158C"/>
    <w:rsid w:val="008D0518"/>
    <w:rsid w:val="008D1A07"/>
    <w:rsid w:val="008D6A82"/>
    <w:rsid w:val="008E2AEE"/>
    <w:rsid w:val="008E7721"/>
    <w:rsid w:val="009026C2"/>
    <w:rsid w:val="00921F17"/>
    <w:rsid w:val="00930783"/>
    <w:rsid w:val="00934FDA"/>
    <w:rsid w:val="00946A1E"/>
    <w:rsid w:val="00977A95"/>
    <w:rsid w:val="009862FD"/>
    <w:rsid w:val="00991D5C"/>
    <w:rsid w:val="009A1DDE"/>
    <w:rsid w:val="009A4B12"/>
    <w:rsid w:val="009A5ED9"/>
    <w:rsid w:val="009C65C9"/>
    <w:rsid w:val="009D00DB"/>
    <w:rsid w:val="009E5759"/>
    <w:rsid w:val="009F291D"/>
    <w:rsid w:val="009F42AE"/>
    <w:rsid w:val="009F460A"/>
    <w:rsid w:val="00A03056"/>
    <w:rsid w:val="00A333C5"/>
    <w:rsid w:val="00A33B88"/>
    <w:rsid w:val="00A347DC"/>
    <w:rsid w:val="00A37E05"/>
    <w:rsid w:val="00A420EC"/>
    <w:rsid w:val="00A4451D"/>
    <w:rsid w:val="00A56CD0"/>
    <w:rsid w:val="00A5741F"/>
    <w:rsid w:val="00A60C93"/>
    <w:rsid w:val="00A8369F"/>
    <w:rsid w:val="00A97F27"/>
    <w:rsid w:val="00AA5A4C"/>
    <w:rsid w:val="00AB1F52"/>
    <w:rsid w:val="00AC72E3"/>
    <w:rsid w:val="00AD0AF5"/>
    <w:rsid w:val="00AD7ACA"/>
    <w:rsid w:val="00AE1BD2"/>
    <w:rsid w:val="00AE1C32"/>
    <w:rsid w:val="00AE1C5B"/>
    <w:rsid w:val="00AF1211"/>
    <w:rsid w:val="00AF303A"/>
    <w:rsid w:val="00AF5DF4"/>
    <w:rsid w:val="00AF75D4"/>
    <w:rsid w:val="00B05919"/>
    <w:rsid w:val="00B10A06"/>
    <w:rsid w:val="00B24F69"/>
    <w:rsid w:val="00B26857"/>
    <w:rsid w:val="00B37B6C"/>
    <w:rsid w:val="00B42D8D"/>
    <w:rsid w:val="00B44842"/>
    <w:rsid w:val="00B6017A"/>
    <w:rsid w:val="00B6596C"/>
    <w:rsid w:val="00B74CD9"/>
    <w:rsid w:val="00B756ED"/>
    <w:rsid w:val="00B973A7"/>
    <w:rsid w:val="00B976FB"/>
    <w:rsid w:val="00BA2A1E"/>
    <w:rsid w:val="00BB2043"/>
    <w:rsid w:val="00BC5480"/>
    <w:rsid w:val="00BD1980"/>
    <w:rsid w:val="00BE0235"/>
    <w:rsid w:val="00BE4231"/>
    <w:rsid w:val="00BF7458"/>
    <w:rsid w:val="00C102A6"/>
    <w:rsid w:val="00C26CF3"/>
    <w:rsid w:val="00C27322"/>
    <w:rsid w:val="00C345E6"/>
    <w:rsid w:val="00C47647"/>
    <w:rsid w:val="00C53078"/>
    <w:rsid w:val="00C62C49"/>
    <w:rsid w:val="00C65F3D"/>
    <w:rsid w:val="00C73253"/>
    <w:rsid w:val="00C96CA1"/>
    <w:rsid w:val="00CA32CB"/>
    <w:rsid w:val="00CA6D6B"/>
    <w:rsid w:val="00CB31C7"/>
    <w:rsid w:val="00CB3709"/>
    <w:rsid w:val="00CD6EFB"/>
    <w:rsid w:val="00CE10AB"/>
    <w:rsid w:val="00CE2CD9"/>
    <w:rsid w:val="00CE7E5A"/>
    <w:rsid w:val="00CF0E88"/>
    <w:rsid w:val="00CF1538"/>
    <w:rsid w:val="00D14089"/>
    <w:rsid w:val="00D16DC2"/>
    <w:rsid w:val="00D23C5C"/>
    <w:rsid w:val="00D30E43"/>
    <w:rsid w:val="00D34E06"/>
    <w:rsid w:val="00D361D4"/>
    <w:rsid w:val="00D36DA1"/>
    <w:rsid w:val="00D542B7"/>
    <w:rsid w:val="00D66686"/>
    <w:rsid w:val="00DB4EF0"/>
    <w:rsid w:val="00DC2D85"/>
    <w:rsid w:val="00DD5DED"/>
    <w:rsid w:val="00DD7BFF"/>
    <w:rsid w:val="00DE7908"/>
    <w:rsid w:val="00E003B6"/>
    <w:rsid w:val="00E26023"/>
    <w:rsid w:val="00E34B98"/>
    <w:rsid w:val="00E44954"/>
    <w:rsid w:val="00E57C6D"/>
    <w:rsid w:val="00E732C3"/>
    <w:rsid w:val="00E749D2"/>
    <w:rsid w:val="00E75403"/>
    <w:rsid w:val="00EA360B"/>
    <w:rsid w:val="00EA4BF9"/>
    <w:rsid w:val="00EB0517"/>
    <w:rsid w:val="00EB5463"/>
    <w:rsid w:val="00ED0ECE"/>
    <w:rsid w:val="00ED59F6"/>
    <w:rsid w:val="00ED7CEC"/>
    <w:rsid w:val="00EE1646"/>
    <w:rsid w:val="00EE2B44"/>
    <w:rsid w:val="00EE47B3"/>
    <w:rsid w:val="00EF011C"/>
    <w:rsid w:val="00EF3627"/>
    <w:rsid w:val="00EF4F1E"/>
    <w:rsid w:val="00F01348"/>
    <w:rsid w:val="00F026E7"/>
    <w:rsid w:val="00F11238"/>
    <w:rsid w:val="00F17257"/>
    <w:rsid w:val="00F36D94"/>
    <w:rsid w:val="00F47E90"/>
    <w:rsid w:val="00F60487"/>
    <w:rsid w:val="00F65F85"/>
    <w:rsid w:val="00F7064C"/>
    <w:rsid w:val="00F74404"/>
    <w:rsid w:val="00F90C3B"/>
    <w:rsid w:val="00F92F1D"/>
    <w:rsid w:val="00F93CD5"/>
    <w:rsid w:val="00F953AA"/>
    <w:rsid w:val="00FB2661"/>
    <w:rsid w:val="00FB5A96"/>
    <w:rsid w:val="00FC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F0BF9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0B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0B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3F0B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F4F1E"/>
  </w:style>
  <w:style w:type="character" w:styleId="Hyperlink">
    <w:name w:val="Hyperlink"/>
    <w:basedOn w:val="DefaultParagraphFont"/>
    <w:uiPriority w:val="99"/>
    <w:semiHidden/>
    <w:unhideWhenUsed/>
    <w:rsid w:val="00EF4F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F0BF9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0B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0B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3F0BF9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F4F1E"/>
  </w:style>
  <w:style w:type="character" w:styleId="Hyperlink">
    <w:name w:val="Hyperlink"/>
    <w:basedOn w:val="DefaultParagraphFont"/>
    <w:uiPriority w:val="99"/>
    <w:semiHidden/>
    <w:unhideWhenUsed/>
    <w:rsid w:val="00EF4F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lda.tcd.i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Donal De Buitleir</dc:creator>
  <cp:lastModifiedBy>Mary Blaney</cp:lastModifiedBy>
  <cp:revision>2</cp:revision>
  <cp:lastPrinted>2015-01-09T17:04:00Z</cp:lastPrinted>
  <dcterms:created xsi:type="dcterms:W3CDTF">2015-01-15T10:56:00Z</dcterms:created>
  <dcterms:modified xsi:type="dcterms:W3CDTF">2015-01-15T10:56:00Z</dcterms:modified>
</cp:coreProperties>
</file>