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5F4" w:rsidRPr="001800BA" w:rsidRDefault="005634DF" w:rsidP="0097526D">
      <w:pPr>
        <w:jc w:val="center"/>
        <w:rPr>
          <w:rFonts w:ascii="Verdana" w:hAnsi="Verdana"/>
          <w:b/>
          <w:caps/>
          <w:sz w:val="24"/>
          <w:szCs w:val="24"/>
        </w:rPr>
      </w:pPr>
      <w:r w:rsidRPr="001800BA">
        <w:rPr>
          <w:rFonts w:ascii="Verdana" w:hAnsi="Verdana"/>
          <w:b/>
          <w:caps/>
          <w:sz w:val="24"/>
          <w:szCs w:val="24"/>
        </w:rPr>
        <w:t xml:space="preserve">Joint Committee on Public </w:t>
      </w:r>
      <w:r w:rsidR="00A75295">
        <w:rPr>
          <w:rFonts w:ascii="Verdana" w:hAnsi="Verdana"/>
          <w:b/>
          <w:caps/>
          <w:sz w:val="24"/>
          <w:szCs w:val="24"/>
        </w:rPr>
        <w:t xml:space="preserve">SERVICE </w:t>
      </w:r>
      <w:bookmarkStart w:id="0" w:name="_GoBack"/>
      <w:bookmarkEnd w:id="0"/>
      <w:r w:rsidRPr="001800BA">
        <w:rPr>
          <w:rFonts w:ascii="Verdana" w:hAnsi="Verdana"/>
          <w:b/>
          <w:caps/>
          <w:sz w:val="24"/>
          <w:szCs w:val="24"/>
        </w:rPr>
        <w:t>Oversight and Petitions</w:t>
      </w:r>
    </w:p>
    <w:p w:rsidR="005634DF" w:rsidRPr="001800BA" w:rsidRDefault="005634DF" w:rsidP="0097526D">
      <w:pPr>
        <w:jc w:val="center"/>
        <w:rPr>
          <w:rFonts w:ascii="Verdana" w:hAnsi="Verdana"/>
          <w:b/>
          <w:sz w:val="24"/>
          <w:szCs w:val="24"/>
        </w:rPr>
      </w:pPr>
    </w:p>
    <w:p w:rsidR="005634DF" w:rsidRPr="001800BA" w:rsidRDefault="005634DF" w:rsidP="0097526D">
      <w:pPr>
        <w:jc w:val="center"/>
        <w:rPr>
          <w:rFonts w:ascii="Verdana" w:hAnsi="Verdana"/>
          <w:b/>
          <w:sz w:val="24"/>
          <w:szCs w:val="24"/>
        </w:rPr>
      </w:pPr>
      <w:r w:rsidRPr="001800BA">
        <w:rPr>
          <w:rFonts w:ascii="Verdana" w:hAnsi="Verdana"/>
          <w:b/>
          <w:sz w:val="24"/>
          <w:szCs w:val="24"/>
        </w:rPr>
        <w:t>WEDNESDAY 7</w:t>
      </w:r>
      <w:r w:rsidRPr="001800BA">
        <w:rPr>
          <w:rFonts w:ascii="Verdana" w:hAnsi="Verdana"/>
          <w:b/>
          <w:sz w:val="24"/>
          <w:szCs w:val="24"/>
          <w:vertAlign w:val="superscript"/>
        </w:rPr>
        <w:t>th</w:t>
      </w:r>
      <w:r w:rsidRPr="001800BA">
        <w:rPr>
          <w:rFonts w:ascii="Verdana" w:hAnsi="Verdana"/>
          <w:b/>
          <w:sz w:val="24"/>
          <w:szCs w:val="24"/>
        </w:rPr>
        <w:t xml:space="preserve"> OCTOBER 2015</w:t>
      </w:r>
    </w:p>
    <w:p w:rsidR="005634DF" w:rsidRPr="001800BA" w:rsidRDefault="005634DF" w:rsidP="0097526D">
      <w:pPr>
        <w:jc w:val="center"/>
        <w:rPr>
          <w:rFonts w:ascii="Verdana" w:hAnsi="Verdana"/>
          <w:b/>
          <w:sz w:val="24"/>
          <w:szCs w:val="24"/>
        </w:rPr>
      </w:pPr>
    </w:p>
    <w:p w:rsidR="005634DF" w:rsidRPr="001800BA" w:rsidRDefault="00121191" w:rsidP="0097526D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OPENING </w:t>
      </w:r>
      <w:r w:rsidR="005634DF" w:rsidRPr="001800BA">
        <w:rPr>
          <w:rFonts w:ascii="Verdana" w:hAnsi="Verdana"/>
          <w:b/>
          <w:sz w:val="24"/>
          <w:szCs w:val="24"/>
        </w:rPr>
        <w:t>STATEMENT BY MAURICE BUCKLEY, CEO of the NATIONAL STANDARDS AUTHORITY OF IRELAND (NSAI)</w:t>
      </w:r>
    </w:p>
    <w:p w:rsidR="005634DF" w:rsidRPr="001800BA" w:rsidRDefault="005634DF" w:rsidP="0097526D">
      <w:pPr>
        <w:jc w:val="center"/>
        <w:rPr>
          <w:rFonts w:ascii="Verdana" w:hAnsi="Verdana"/>
          <w:b/>
          <w:sz w:val="24"/>
          <w:szCs w:val="24"/>
        </w:rPr>
      </w:pPr>
    </w:p>
    <w:p w:rsidR="005634DF" w:rsidRPr="001800BA" w:rsidRDefault="005634DF" w:rsidP="0097526D">
      <w:pPr>
        <w:jc w:val="center"/>
        <w:rPr>
          <w:rFonts w:ascii="Verdana" w:hAnsi="Verdana"/>
          <w:b/>
          <w:sz w:val="24"/>
          <w:szCs w:val="24"/>
        </w:rPr>
      </w:pPr>
      <w:r w:rsidRPr="001800BA">
        <w:rPr>
          <w:rFonts w:ascii="Verdana" w:hAnsi="Verdana"/>
          <w:b/>
          <w:sz w:val="24"/>
          <w:szCs w:val="24"/>
        </w:rPr>
        <w:t>Petition No. P00040/14</w:t>
      </w:r>
    </w:p>
    <w:p w:rsidR="001800BA" w:rsidRPr="001800BA" w:rsidRDefault="001800BA">
      <w:pPr>
        <w:rPr>
          <w:rFonts w:ascii="Verdana" w:hAnsi="Verdana"/>
          <w:b/>
          <w:sz w:val="24"/>
          <w:szCs w:val="24"/>
        </w:rPr>
      </w:pPr>
    </w:p>
    <w:p w:rsidR="005634DF" w:rsidRPr="001800BA" w:rsidRDefault="005634DF">
      <w:pPr>
        <w:rPr>
          <w:rFonts w:ascii="Verdana" w:hAnsi="Verdana"/>
          <w:b/>
          <w:sz w:val="24"/>
          <w:szCs w:val="24"/>
        </w:rPr>
      </w:pPr>
      <w:r w:rsidRPr="001800BA">
        <w:rPr>
          <w:rFonts w:ascii="Verdana" w:hAnsi="Verdana"/>
          <w:b/>
          <w:sz w:val="24"/>
          <w:szCs w:val="24"/>
        </w:rPr>
        <w:t>Introduction</w:t>
      </w:r>
    </w:p>
    <w:p w:rsidR="00A002FE" w:rsidRPr="001800BA" w:rsidRDefault="005634DF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t xml:space="preserve">I would like to thank the Committee for the invitation to assist in your consideration of the issues raised in the petition regarding </w:t>
      </w:r>
      <w:r w:rsidR="00A002FE" w:rsidRPr="001800BA">
        <w:rPr>
          <w:rFonts w:ascii="Verdana" w:hAnsi="Verdana"/>
          <w:sz w:val="24"/>
          <w:szCs w:val="24"/>
        </w:rPr>
        <w:t xml:space="preserve">the installation of central heating systems and the </w:t>
      </w:r>
      <w:r w:rsidR="00BE7EED">
        <w:rPr>
          <w:rFonts w:ascii="Verdana" w:hAnsi="Verdana"/>
          <w:sz w:val="24"/>
          <w:szCs w:val="24"/>
        </w:rPr>
        <w:t xml:space="preserve">ongoing standardisation </w:t>
      </w:r>
      <w:r w:rsidR="00A002FE" w:rsidRPr="001800BA">
        <w:rPr>
          <w:rFonts w:ascii="Verdana" w:hAnsi="Verdana"/>
          <w:sz w:val="24"/>
          <w:szCs w:val="24"/>
        </w:rPr>
        <w:t xml:space="preserve">work NSAI </w:t>
      </w:r>
      <w:r w:rsidR="00BE7EED">
        <w:rPr>
          <w:rFonts w:ascii="Verdana" w:hAnsi="Verdana"/>
          <w:sz w:val="24"/>
          <w:szCs w:val="24"/>
        </w:rPr>
        <w:t>is</w:t>
      </w:r>
      <w:r w:rsidR="00A002FE" w:rsidRPr="001800BA">
        <w:rPr>
          <w:rFonts w:ascii="Verdana" w:hAnsi="Verdana"/>
          <w:sz w:val="24"/>
          <w:szCs w:val="24"/>
        </w:rPr>
        <w:t xml:space="preserve"> undertak</w:t>
      </w:r>
      <w:r w:rsidR="00BE7EED">
        <w:rPr>
          <w:rFonts w:ascii="Verdana" w:hAnsi="Verdana"/>
          <w:sz w:val="24"/>
          <w:szCs w:val="24"/>
        </w:rPr>
        <w:t>ing</w:t>
      </w:r>
      <w:r w:rsidR="00A002FE" w:rsidRPr="001800BA">
        <w:rPr>
          <w:rFonts w:ascii="Verdana" w:hAnsi="Verdana"/>
          <w:sz w:val="24"/>
          <w:szCs w:val="24"/>
        </w:rPr>
        <w:t xml:space="preserve"> in </w:t>
      </w:r>
      <w:r w:rsidR="00BE7EED">
        <w:rPr>
          <w:rFonts w:ascii="Verdana" w:hAnsi="Verdana"/>
          <w:sz w:val="24"/>
          <w:szCs w:val="24"/>
        </w:rPr>
        <w:t xml:space="preserve">the area of </w:t>
      </w:r>
      <w:r w:rsidR="00A002FE" w:rsidRPr="001800BA">
        <w:rPr>
          <w:rFonts w:ascii="Verdana" w:hAnsi="Verdana"/>
          <w:sz w:val="24"/>
          <w:szCs w:val="24"/>
        </w:rPr>
        <w:t>plumbing</w:t>
      </w:r>
      <w:r w:rsidR="00BE7EED">
        <w:rPr>
          <w:rFonts w:ascii="Verdana" w:hAnsi="Verdana"/>
          <w:sz w:val="24"/>
          <w:szCs w:val="24"/>
        </w:rPr>
        <w:t xml:space="preserve"> services</w:t>
      </w:r>
      <w:r w:rsidR="00A002FE" w:rsidRPr="001800BA">
        <w:rPr>
          <w:rFonts w:ascii="Verdana" w:hAnsi="Verdana"/>
          <w:sz w:val="24"/>
          <w:szCs w:val="24"/>
        </w:rPr>
        <w:t>.</w:t>
      </w:r>
    </w:p>
    <w:p w:rsidR="005634DF" w:rsidRPr="001800BA" w:rsidRDefault="005634DF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t>This i</w:t>
      </w:r>
      <w:r w:rsidR="00A002FE" w:rsidRPr="001800BA">
        <w:rPr>
          <w:rFonts w:ascii="Verdana" w:hAnsi="Verdana"/>
          <w:sz w:val="24"/>
          <w:szCs w:val="24"/>
        </w:rPr>
        <w:t>s my first occasion before the C</w:t>
      </w:r>
      <w:r w:rsidRPr="001800BA">
        <w:rPr>
          <w:rFonts w:ascii="Verdana" w:hAnsi="Verdana"/>
          <w:sz w:val="24"/>
          <w:szCs w:val="24"/>
        </w:rPr>
        <w:t xml:space="preserve">ommittee and I am accompanied </w:t>
      </w:r>
      <w:r w:rsidR="00A002FE" w:rsidRPr="001800BA">
        <w:rPr>
          <w:rFonts w:ascii="Verdana" w:hAnsi="Verdana"/>
          <w:sz w:val="24"/>
          <w:szCs w:val="24"/>
        </w:rPr>
        <w:t>by Yvonne Wylde, Manager of Standards</w:t>
      </w:r>
      <w:r w:rsidR="0097526D" w:rsidRPr="001800BA">
        <w:rPr>
          <w:rFonts w:ascii="Verdana" w:hAnsi="Verdana"/>
          <w:sz w:val="24"/>
          <w:szCs w:val="24"/>
        </w:rPr>
        <w:t xml:space="preserve"> Technical,</w:t>
      </w:r>
      <w:r w:rsidR="00A002FE" w:rsidRPr="001800BA">
        <w:rPr>
          <w:rFonts w:ascii="Verdana" w:hAnsi="Verdana"/>
          <w:sz w:val="24"/>
          <w:szCs w:val="24"/>
        </w:rPr>
        <w:t xml:space="preserve"> and together we will endeavour to address any matters raised by the Committee today. </w:t>
      </w:r>
    </w:p>
    <w:p w:rsidR="001B5C85" w:rsidRPr="001800BA" w:rsidRDefault="001B5C85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t>I am also aware that the Committee will be addressed by officials from the Department of Environment, Communications and Local Government</w:t>
      </w:r>
      <w:r w:rsidR="006E3A57" w:rsidRPr="001800BA">
        <w:rPr>
          <w:rFonts w:ascii="Verdana" w:hAnsi="Verdana"/>
          <w:sz w:val="24"/>
          <w:szCs w:val="24"/>
        </w:rPr>
        <w:t xml:space="preserve"> and since that Department </w:t>
      </w:r>
      <w:r w:rsidR="0018018D">
        <w:rPr>
          <w:rFonts w:ascii="Verdana" w:hAnsi="Verdana"/>
          <w:sz w:val="24"/>
          <w:szCs w:val="24"/>
        </w:rPr>
        <w:t xml:space="preserve">and agencies </w:t>
      </w:r>
      <w:r w:rsidR="002B0DD6">
        <w:rPr>
          <w:rFonts w:ascii="Verdana" w:hAnsi="Verdana"/>
          <w:sz w:val="24"/>
          <w:szCs w:val="24"/>
        </w:rPr>
        <w:t xml:space="preserve">under its auspices </w:t>
      </w:r>
      <w:r w:rsidR="006E3A57" w:rsidRPr="001800BA">
        <w:rPr>
          <w:rFonts w:ascii="Verdana" w:hAnsi="Verdana"/>
          <w:sz w:val="24"/>
          <w:szCs w:val="24"/>
        </w:rPr>
        <w:t>ha</w:t>
      </w:r>
      <w:r w:rsidR="0018018D">
        <w:rPr>
          <w:rFonts w:ascii="Verdana" w:hAnsi="Verdana"/>
          <w:sz w:val="24"/>
          <w:szCs w:val="24"/>
        </w:rPr>
        <w:t>ve</w:t>
      </w:r>
      <w:r w:rsidR="006E3A57" w:rsidRPr="001800BA">
        <w:rPr>
          <w:rFonts w:ascii="Verdana" w:hAnsi="Verdana"/>
          <w:sz w:val="24"/>
          <w:szCs w:val="24"/>
        </w:rPr>
        <w:t xml:space="preserve"> statutory responsibility for </w:t>
      </w:r>
      <w:r w:rsidR="007E514B">
        <w:rPr>
          <w:rFonts w:ascii="Verdana" w:hAnsi="Verdana"/>
          <w:sz w:val="24"/>
          <w:szCs w:val="24"/>
        </w:rPr>
        <w:t xml:space="preserve">Water Services, </w:t>
      </w:r>
      <w:r w:rsidR="0018018D">
        <w:rPr>
          <w:rFonts w:ascii="Verdana" w:hAnsi="Verdana"/>
          <w:sz w:val="24"/>
          <w:szCs w:val="24"/>
        </w:rPr>
        <w:t>W</w:t>
      </w:r>
      <w:r w:rsidR="007E514B">
        <w:rPr>
          <w:rFonts w:ascii="Verdana" w:hAnsi="Verdana"/>
          <w:sz w:val="24"/>
          <w:szCs w:val="24"/>
        </w:rPr>
        <w:t xml:space="preserve">ater </w:t>
      </w:r>
      <w:r w:rsidR="0018018D">
        <w:rPr>
          <w:rFonts w:ascii="Verdana" w:hAnsi="Verdana"/>
          <w:sz w:val="24"/>
          <w:szCs w:val="24"/>
        </w:rPr>
        <w:t>Q</w:t>
      </w:r>
      <w:r w:rsidR="007E514B">
        <w:rPr>
          <w:rFonts w:ascii="Verdana" w:hAnsi="Verdana"/>
          <w:sz w:val="24"/>
          <w:szCs w:val="24"/>
        </w:rPr>
        <w:t xml:space="preserve">uality, </w:t>
      </w:r>
      <w:r w:rsidR="006E3A57" w:rsidRPr="001800BA">
        <w:rPr>
          <w:rFonts w:ascii="Verdana" w:hAnsi="Verdana"/>
          <w:sz w:val="24"/>
          <w:szCs w:val="24"/>
        </w:rPr>
        <w:t xml:space="preserve">Building Regulations and building standards generally </w:t>
      </w:r>
      <w:r w:rsidRPr="001800BA">
        <w:rPr>
          <w:rFonts w:ascii="Verdana" w:hAnsi="Verdana"/>
          <w:sz w:val="24"/>
          <w:szCs w:val="24"/>
        </w:rPr>
        <w:t xml:space="preserve">I will </w:t>
      </w:r>
      <w:r w:rsidR="0033112A" w:rsidRPr="001800BA">
        <w:rPr>
          <w:rFonts w:ascii="Verdana" w:hAnsi="Verdana"/>
          <w:sz w:val="24"/>
          <w:szCs w:val="24"/>
        </w:rPr>
        <w:t>confine</w:t>
      </w:r>
      <w:r w:rsidRPr="001800BA">
        <w:rPr>
          <w:rFonts w:ascii="Verdana" w:hAnsi="Verdana"/>
          <w:sz w:val="24"/>
          <w:szCs w:val="24"/>
        </w:rPr>
        <w:t xml:space="preserve"> my comments </w:t>
      </w:r>
      <w:r w:rsidR="006E3A57" w:rsidRPr="001800BA">
        <w:rPr>
          <w:rFonts w:ascii="Verdana" w:hAnsi="Verdana"/>
          <w:sz w:val="24"/>
          <w:szCs w:val="24"/>
        </w:rPr>
        <w:t xml:space="preserve">to </w:t>
      </w:r>
      <w:r w:rsidRPr="001800BA">
        <w:rPr>
          <w:rFonts w:ascii="Verdana" w:hAnsi="Verdana"/>
          <w:sz w:val="24"/>
          <w:szCs w:val="24"/>
        </w:rPr>
        <w:t>NSAI’</w:t>
      </w:r>
      <w:r w:rsidR="00CB79E6" w:rsidRPr="001800BA">
        <w:rPr>
          <w:rFonts w:ascii="Verdana" w:hAnsi="Verdana"/>
          <w:sz w:val="24"/>
          <w:szCs w:val="24"/>
        </w:rPr>
        <w:t>s</w:t>
      </w:r>
      <w:r w:rsidR="0033112A" w:rsidRPr="001800BA">
        <w:rPr>
          <w:rFonts w:ascii="Verdana" w:hAnsi="Verdana"/>
          <w:sz w:val="24"/>
          <w:szCs w:val="24"/>
        </w:rPr>
        <w:t xml:space="preserve"> </w:t>
      </w:r>
      <w:r w:rsidR="00CB79E6" w:rsidRPr="001800BA">
        <w:rPr>
          <w:rFonts w:ascii="Verdana" w:hAnsi="Verdana"/>
          <w:sz w:val="24"/>
          <w:szCs w:val="24"/>
        </w:rPr>
        <w:t xml:space="preserve">standardisation </w:t>
      </w:r>
      <w:r w:rsidR="0097526D" w:rsidRPr="001800BA">
        <w:rPr>
          <w:rFonts w:ascii="Verdana" w:hAnsi="Verdana"/>
          <w:sz w:val="24"/>
          <w:szCs w:val="24"/>
        </w:rPr>
        <w:t>work</w:t>
      </w:r>
      <w:r w:rsidR="0033112A" w:rsidRPr="001800BA">
        <w:rPr>
          <w:rFonts w:ascii="Verdana" w:hAnsi="Verdana"/>
          <w:sz w:val="24"/>
          <w:szCs w:val="24"/>
        </w:rPr>
        <w:t>.</w:t>
      </w:r>
    </w:p>
    <w:p w:rsidR="0033112A" w:rsidRPr="001800BA" w:rsidRDefault="001B5C85" w:rsidP="001B5C85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t xml:space="preserve">I am happy to take any questions from members but before doing so I would like to </w:t>
      </w:r>
      <w:r w:rsidR="0033112A" w:rsidRPr="001800BA">
        <w:rPr>
          <w:rFonts w:ascii="Verdana" w:hAnsi="Verdana"/>
          <w:sz w:val="24"/>
          <w:szCs w:val="24"/>
        </w:rPr>
        <w:t xml:space="preserve">provide the Committee with some background information on the NSAI and </w:t>
      </w:r>
      <w:r w:rsidR="0097526D" w:rsidRPr="001800BA">
        <w:rPr>
          <w:rFonts w:ascii="Verdana" w:hAnsi="Verdana"/>
          <w:sz w:val="24"/>
          <w:szCs w:val="24"/>
        </w:rPr>
        <w:t>its</w:t>
      </w:r>
      <w:r w:rsidR="0033112A" w:rsidRPr="001800BA">
        <w:rPr>
          <w:rFonts w:ascii="Verdana" w:hAnsi="Verdana"/>
          <w:sz w:val="24"/>
          <w:szCs w:val="24"/>
        </w:rPr>
        <w:t xml:space="preserve"> </w:t>
      </w:r>
      <w:r w:rsidR="0018018D">
        <w:rPr>
          <w:rFonts w:ascii="Verdana" w:hAnsi="Verdana"/>
          <w:sz w:val="24"/>
          <w:szCs w:val="24"/>
        </w:rPr>
        <w:t>standardisation role</w:t>
      </w:r>
      <w:r w:rsidR="001962CC">
        <w:rPr>
          <w:rFonts w:ascii="Verdana" w:hAnsi="Verdana"/>
          <w:sz w:val="24"/>
          <w:szCs w:val="24"/>
        </w:rPr>
        <w:t xml:space="preserve"> with particular reference to the plumbing issue in question</w:t>
      </w:r>
      <w:r w:rsidR="0033112A" w:rsidRPr="001800BA">
        <w:rPr>
          <w:rFonts w:ascii="Verdana" w:hAnsi="Verdana"/>
          <w:sz w:val="24"/>
          <w:szCs w:val="24"/>
        </w:rPr>
        <w:t>.</w:t>
      </w:r>
    </w:p>
    <w:p w:rsidR="001B5C85" w:rsidRPr="001800BA" w:rsidRDefault="001B5C85">
      <w:pPr>
        <w:rPr>
          <w:rFonts w:ascii="Verdana" w:hAnsi="Verdana"/>
          <w:sz w:val="24"/>
          <w:szCs w:val="24"/>
        </w:rPr>
      </w:pPr>
    </w:p>
    <w:p w:rsidR="001B5C85" w:rsidRPr="001800BA" w:rsidRDefault="001B5C85">
      <w:pPr>
        <w:rPr>
          <w:rFonts w:ascii="Verdana" w:hAnsi="Verdana"/>
          <w:b/>
          <w:sz w:val="24"/>
          <w:szCs w:val="24"/>
        </w:rPr>
      </w:pPr>
      <w:r w:rsidRPr="001800BA">
        <w:rPr>
          <w:rFonts w:ascii="Verdana" w:hAnsi="Verdana"/>
          <w:b/>
          <w:sz w:val="24"/>
          <w:szCs w:val="24"/>
        </w:rPr>
        <w:t>Background</w:t>
      </w:r>
    </w:p>
    <w:p w:rsidR="00CB79E6" w:rsidRPr="001800BA" w:rsidRDefault="001B5C85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t>NSAI</w:t>
      </w:r>
      <w:r w:rsidR="00801C0D" w:rsidRPr="001800BA">
        <w:rPr>
          <w:rFonts w:ascii="Verdana" w:hAnsi="Verdana"/>
          <w:sz w:val="24"/>
          <w:szCs w:val="24"/>
        </w:rPr>
        <w:t>, as the Irish national standards body,</w:t>
      </w:r>
      <w:r w:rsidRPr="001800BA">
        <w:rPr>
          <w:rFonts w:ascii="Verdana" w:hAnsi="Verdana"/>
          <w:sz w:val="24"/>
          <w:szCs w:val="24"/>
        </w:rPr>
        <w:t xml:space="preserve"> is responsible for developing </w:t>
      </w:r>
      <w:r w:rsidR="00AC6211" w:rsidRPr="001800BA">
        <w:rPr>
          <w:rFonts w:ascii="Verdana" w:hAnsi="Verdana"/>
          <w:sz w:val="24"/>
          <w:szCs w:val="24"/>
        </w:rPr>
        <w:t>technical specifications</w:t>
      </w:r>
      <w:r w:rsidRPr="001800BA">
        <w:rPr>
          <w:rFonts w:ascii="Verdana" w:hAnsi="Verdana"/>
          <w:sz w:val="24"/>
          <w:szCs w:val="24"/>
        </w:rPr>
        <w:t xml:space="preserve"> for products, processes</w:t>
      </w:r>
      <w:r w:rsidR="00AC6211" w:rsidRPr="001800BA">
        <w:rPr>
          <w:rFonts w:ascii="Verdana" w:hAnsi="Verdana"/>
          <w:sz w:val="24"/>
          <w:szCs w:val="24"/>
        </w:rPr>
        <w:t xml:space="preserve"> and practices</w:t>
      </w:r>
      <w:r w:rsidRPr="001800BA">
        <w:rPr>
          <w:rFonts w:ascii="Verdana" w:hAnsi="Verdana"/>
          <w:sz w:val="24"/>
          <w:szCs w:val="24"/>
        </w:rPr>
        <w:t xml:space="preserve"> </w:t>
      </w:r>
      <w:r w:rsidR="00AC6211" w:rsidRPr="001800BA">
        <w:rPr>
          <w:rFonts w:ascii="Verdana" w:hAnsi="Verdana"/>
          <w:sz w:val="24"/>
          <w:szCs w:val="24"/>
        </w:rPr>
        <w:t>in the form of</w:t>
      </w:r>
      <w:r w:rsidR="00C771F3" w:rsidRPr="001800BA">
        <w:rPr>
          <w:rFonts w:ascii="Verdana" w:hAnsi="Verdana"/>
          <w:sz w:val="24"/>
          <w:szCs w:val="24"/>
        </w:rPr>
        <w:t xml:space="preserve"> </w:t>
      </w:r>
      <w:r w:rsidR="00CB79E6" w:rsidRPr="001800BA">
        <w:rPr>
          <w:rFonts w:ascii="Verdana" w:hAnsi="Verdana"/>
          <w:sz w:val="24"/>
          <w:szCs w:val="24"/>
        </w:rPr>
        <w:t>written standards, guides or codes of practice.  Whil</w:t>
      </w:r>
      <w:r w:rsidR="0018018D">
        <w:rPr>
          <w:rFonts w:ascii="Verdana" w:hAnsi="Verdana"/>
          <w:sz w:val="24"/>
          <w:szCs w:val="24"/>
        </w:rPr>
        <w:t>st</w:t>
      </w:r>
      <w:r w:rsidR="00CB79E6" w:rsidRPr="001800BA">
        <w:rPr>
          <w:rFonts w:ascii="Verdana" w:hAnsi="Verdana"/>
          <w:sz w:val="24"/>
          <w:szCs w:val="24"/>
        </w:rPr>
        <w:t xml:space="preserve"> there are some differences in the character of each of these documents they are collectively referred to as ‘standards’.  </w:t>
      </w:r>
    </w:p>
    <w:p w:rsidR="000C7336" w:rsidRDefault="003E20B0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lastRenderedPageBreak/>
        <w:t>S</w:t>
      </w:r>
      <w:r w:rsidR="00CB79E6" w:rsidRPr="001800BA">
        <w:rPr>
          <w:rFonts w:ascii="Verdana" w:hAnsi="Verdana"/>
          <w:sz w:val="24"/>
          <w:szCs w:val="24"/>
        </w:rPr>
        <w:t xml:space="preserve">tandards are </w:t>
      </w:r>
      <w:r w:rsidRPr="001800BA">
        <w:rPr>
          <w:rFonts w:ascii="Verdana" w:hAnsi="Verdana"/>
          <w:sz w:val="24"/>
          <w:szCs w:val="24"/>
        </w:rPr>
        <w:t xml:space="preserve">generally voluntary </w:t>
      </w:r>
      <w:r w:rsidR="000C7336">
        <w:rPr>
          <w:rFonts w:ascii="Verdana" w:hAnsi="Verdana"/>
          <w:sz w:val="24"/>
          <w:szCs w:val="24"/>
        </w:rPr>
        <w:t>but can be made</w:t>
      </w:r>
      <w:r w:rsidR="00CB79E6" w:rsidRPr="001800BA">
        <w:rPr>
          <w:rFonts w:ascii="Verdana" w:hAnsi="Verdana"/>
          <w:sz w:val="24"/>
          <w:szCs w:val="24"/>
        </w:rPr>
        <w:t xml:space="preserve"> legally binding </w:t>
      </w:r>
      <w:r w:rsidR="000C7336">
        <w:rPr>
          <w:rFonts w:ascii="Verdana" w:hAnsi="Verdana"/>
          <w:sz w:val="24"/>
          <w:szCs w:val="24"/>
        </w:rPr>
        <w:t xml:space="preserve">when </w:t>
      </w:r>
      <w:r w:rsidR="00CB79E6" w:rsidRPr="001800BA">
        <w:rPr>
          <w:rFonts w:ascii="Verdana" w:hAnsi="Verdana"/>
          <w:sz w:val="24"/>
          <w:szCs w:val="24"/>
        </w:rPr>
        <w:t xml:space="preserve">referenced as mandatory </w:t>
      </w:r>
      <w:r w:rsidR="00801C0D" w:rsidRPr="001800BA">
        <w:rPr>
          <w:rFonts w:ascii="Verdana" w:hAnsi="Verdana"/>
          <w:sz w:val="24"/>
          <w:szCs w:val="24"/>
        </w:rPr>
        <w:t>by</w:t>
      </w:r>
      <w:r w:rsidR="00CB79E6" w:rsidRPr="001800BA">
        <w:rPr>
          <w:rFonts w:ascii="Verdana" w:hAnsi="Verdana"/>
          <w:sz w:val="24"/>
          <w:szCs w:val="24"/>
        </w:rPr>
        <w:t xml:space="preserve"> legislation.  Of the </w:t>
      </w:r>
      <w:r w:rsidR="0018018D">
        <w:rPr>
          <w:rFonts w:ascii="Verdana" w:hAnsi="Verdana"/>
          <w:sz w:val="24"/>
          <w:szCs w:val="24"/>
        </w:rPr>
        <w:t xml:space="preserve">1,500 or so </w:t>
      </w:r>
      <w:r w:rsidR="00CB79E6" w:rsidRPr="001800BA">
        <w:rPr>
          <w:rFonts w:ascii="Verdana" w:hAnsi="Verdana"/>
          <w:sz w:val="24"/>
          <w:szCs w:val="24"/>
        </w:rPr>
        <w:t xml:space="preserve">national, European and </w:t>
      </w:r>
      <w:r w:rsidRPr="001800BA">
        <w:rPr>
          <w:rFonts w:ascii="Verdana" w:hAnsi="Verdana"/>
          <w:sz w:val="24"/>
          <w:szCs w:val="24"/>
        </w:rPr>
        <w:t>i</w:t>
      </w:r>
      <w:r w:rsidR="00CB79E6" w:rsidRPr="001800BA">
        <w:rPr>
          <w:rFonts w:ascii="Verdana" w:hAnsi="Verdana"/>
          <w:sz w:val="24"/>
          <w:szCs w:val="24"/>
        </w:rPr>
        <w:t xml:space="preserve">nternational standards </w:t>
      </w:r>
      <w:r w:rsidRPr="001800BA">
        <w:rPr>
          <w:rFonts w:ascii="Verdana" w:hAnsi="Verdana"/>
          <w:sz w:val="24"/>
          <w:szCs w:val="24"/>
        </w:rPr>
        <w:t xml:space="preserve">published annually </w:t>
      </w:r>
      <w:r w:rsidR="00CB79E6" w:rsidRPr="001800BA">
        <w:rPr>
          <w:rFonts w:ascii="Verdana" w:hAnsi="Verdana"/>
          <w:sz w:val="24"/>
          <w:szCs w:val="24"/>
        </w:rPr>
        <w:t>by NSAI an increasing number are used to sup</w:t>
      </w:r>
      <w:r w:rsidRPr="001800BA">
        <w:rPr>
          <w:rFonts w:ascii="Verdana" w:hAnsi="Verdana"/>
          <w:sz w:val="24"/>
          <w:szCs w:val="24"/>
        </w:rPr>
        <w:t xml:space="preserve">port legislation by providing the user with means of demonstrating compliance with </w:t>
      </w:r>
      <w:r w:rsidR="00801C0D" w:rsidRPr="001800BA">
        <w:rPr>
          <w:rFonts w:ascii="Verdana" w:hAnsi="Verdana"/>
          <w:sz w:val="24"/>
          <w:szCs w:val="24"/>
        </w:rPr>
        <w:t>legal requirements</w:t>
      </w:r>
      <w:r w:rsidR="006E3A57" w:rsidRPr="001800BA">
        <w:rPr>
          <w:rFonts w:ascii="Verdana" w:hAnsi="Verdana"/>
          <w:sz w:val="24"/>
          <w:szCs w:val="24"/>
        </w:rPr>
        <w:t xml:space="preserve"> through using the standard.</w:t>
      </w:r>
      <w:r w:rsidR="00017E02" w:rsidRPr="001800BA">
        <w:rPr>
          <w:rFonts w:ascii="Verdana" w:hAnsi="Verdana"/>
          <w:sz w:val="24"/>
          <w:szCs w:val="24"/>
        </w:rPr>
        <w:t xml:space="preserve">  </w:t>
      </w:r>
      <w:r w:rsidR="000C7336">
        <w:rPr>
          <w:rFonts w:ascii="Verdana" w:hAnsi="Verdana"/>
          <w:sz w:val="24"/>
          <w:szCs w:val="24"/>
        </w:rPr>
        <w:t xml:space="preserve">This type of reference </w:t>
      </w:r>
      <w:r w:rsidR="002B0DD6">
        <w:rPr>
          <w:rFonts w:ascii="Verdana" w:hAnsi="Verdana"/>
          <w:sz w:val="24"/>
          <w:szCs w:val="24"/>
        </w:rPr>
        <w:t xml:space="preserve">establishes the standard as a preferred route of compliance </w:t>
      </w:r>
      <w:r w:rsidR="000C7336">
        <w:rPr>
          <w:rFonts w:ascii="Verdana" w:hAnsi="Verdana"/>
          <w:sz w:val="24"/>
          <w:szCs w:val="24"/>
        </w:rPr>
        <w:t xml:space="preserve">without </w:t>
      </w:r>
      <w:r w:rsidR="00BD2C03">
        <w:rPr>
          <w:rFonts w:ascii="Verdana" w:hAnsi="Verdana"/>
          <w:sz w:val="24"/>
          <w:szCs w:val="24"/>
        </w:rPr>
        <w:t xml:space="preserve">it </w:t>
      </w:r>
      <w:r w:rsidR="000C7336">
        <w:rPr>
          <w:rFonts w:ascii="Verdana" w:hAnsi="Verdana"/>
          <w:sz w:val="24"/>
          <w:szCs w:val="24"/>
        </w:rPr>
        <w:t>becoming mandatory.</w:t>
      </w:r>
    </w:p>
    <w:p w:rsidR="003E20B0" w:rsidRPr="001800BA" w:rsidRDefault="00017E02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t xml:space="preserve">In the absence of </w:t>
      </w:r>
      <w:r w:rsidR="00801C0D" w:rsidRPr="001800BA">
        <w:rPr>
          <w:rFonts w:ascii="Verdana" w:hAnsi="Verdana"/>
          <w:sz w:val="24"/>
          <w:szCs w:val="24"/>
        </w:rPr>
        <w:t>a</w:t>
      </w:r>
      <w:r w:rsidR="000C7336">
        <w:rPr>
          <w:rFonts w:ascii="Verdana" w:hAnsi="Verdana"/>
          <w:sz w:val="24"/>
          <w:szCs w:val="24"/>
        </w:rPr>
        <w:t>ny</w:t>
      </w:r>
      <w:r w:rsidR="00801C0D" w:rsidRPr="001800BA">
        <w:rPr>
          <w:rFonts w:ascii="Verdana" w:hAnsi="Verdana"/>
          <w:sz w:val="24"/>
          <w:szCs w:val="24"/>
        </w:rPr>
        <w:t xml:space="preserve"> </w:t>
      </w:r>
      <w:r w:rsidRPr="001800BA">
        <w:rPr>
          <w:rFonts w:ascii="Verdana" w:hAnsi="Verdana"/>
          <w:sz w:val="24"/>
          <w:szCs w:val="24"/>
        </w:rPr>
        <w:t>leg</w:t>
      </w:r>
      <w:r w:rsidR="00801C0D" w:rsidRPr="001800BA">
        <w:rPr>
          <w:rFonts w:ascii="Verdana" w:hAnsi="Verdana"/>
          <w:sz w:val="24"/>
          <w:szCs w:val="24"/>
        </w:rPr>
        <w:t xml:space="preserve">al reference </w:t>
      </w:r>
      <w:r w:rsidRPr="001800BA">
        <w:rPr>
          <w:rFonts w:ascii="Verdana" w:hAnsi="Verdana"/>
          <w:sz w:val="24"/>
          <w:szCs w:val="24"/>
        </w:rPr>
        <w:t>standards remain voluntary to be used by businesses</w:t>
      </w:r>
      <w:r w:rsidR="00801C0D" w:rsidRPr="001800BA">
        <w:rPr>
          <w:rFonts w:ascii="Verdana" w:hAnsi="Verdana"/>
          <w:sz w:val="24"/>
          <w:szCs w:val="24"/>
        </w:rPr>
        <w:t xml:space="preserve"> as a means of demonstrating state of the art or good practice</w:t>
      </w:r>
      <w:r w:rsidRPr="001800BA">
        <w:rPr>
          <w:rFonts w:ascii="Verdana" w:hAnsi="Verdana"/>
          <w:sz w:val="24"/>
          <w:szCs w:val="24"/>
        </w:rPr>
        <w:t>.</w:t>
      </w:r>
    </w:p>
    <w:p w:rsidR="0018018D" w:rsidRDefault="0018018D">
      <w:pPr>
        <w:rPr>
          <w:rFonts w:ascii="Verdana" w:hAnsi="Verdana"/>
          <w:b/>
          <w:sz w:val="24"/>
          <w:szCs w:val="24"/>
        </w:rPr>
      </w:pPr>
    </w:p>
    <w:p w:rsidR="00801C0D" w:rsidRDefault="00801C0D">
      <w:pPr>
        <w:rPr>
          <w:rFonts w:ascii="Verdana" w:hAnsi="Verdana"/>
          <w:b/>
          <w:sz w:val="24"/>
          <w:szCs w:val="24"/>
        </w:rPr>
      </w:pPr>
      <w:r w:rsidRPr="001800BA">
        <w:rPr>
          <w:rFonts w:ascii="Verdana" w:hAnsi="Verdana"/>
          <w:b/>
          <w:sz w:val="24"/>
          <w:szCs w:val="24"/>
        </w:rPr>
        <w:t>Standards development</w:t>
      </w:r>
    </w:p>
    <w:p w:rsidR="00BD2C03" w:rsidRDefault="00F5637B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t xml:space="preserve">NSAI </w:t>
      </w:r>
      <w:r w:rsidR="00D6710E" w:rsidRPr="001800BA">
        <w:rPr>
          <w:rFonts w:ascii="Verdana" w:hAnsi="Verdana"/>
          <w:sz w:val="24"/>
          <w:szCs w:val="24"/>
        </w:rPr>
        <w:t xml:space="preserve">develops standards through its </w:t>
      </w:r>
      <w:r w:rsidR="0033112A" w:rsidRPr="001800BA">
        <w:rPr>
          <w:rFonts w:ascii="Verdana" w:hAnsi="Verdana"/>
          <w:sz w:val="24"/>
          <w:szCs w:val="24"/>
        </w:rPr>
        <w:t xml:space="preserve">network of </w:t>
      </w:r>
      <w:r w:rsidRPr="001800BA">
        <w:rPr>
          <w:rFonts w:ascii="Verdana" w:hAnsi="Verdana"/>
          <w:sz w:val="24"/>
          <w:szCs w:val="24"/>
        </w:rPr>
        <w:t xml:space="preserve">consultative committees.  </w:t>
      </w:r>
      <w:r w:rsidR="004E45AD" w:rsidRPr="001800BA">
        <w:rPr>
          <w:rFonts w:ascii="Verdana" w:hAnsi="Verdana"/>
          <w:sz w:val="24"/>
          <w:szCs w:val="24"/>
        </w:rPr>
        <w:t xml:space="preserve">Committee members are drawn from </w:t>
      </w:r>
      <w:r w:rsidR="0033112A" w:rsidRPr="001800BA">
        <w:rPr>
          <w:rFonts w:ascii="Verdana" w:hAnsi="Verdana"/>
          <w:sz w:val="24"/>
          <w:szCs w:val="24"/>
        </w:rPr>
        <w:t>industry, government and societal interest groups</w:t>
      </w:r>
      <w:r w:rsidR="004E45AD" w:rsidRPr="001800BA">
        <w:rPr>
          <w:rFonts w:ascii="Verdana" w:hAnsi="Verdana"/>
          <w:sz w:val="24"/>
          <w:szCs w:val="24"/>
        </w:rPr>
        <w:t xml:space="preserve"> to work on matters of common interest.  </w:t>
      </w:r>
    </w:p>
    <w:p w:rsidR="00D6710E" w:rsidRPr="001800BA" w:rsidRDefault="00F5637B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t>The</w:t>
      </w:r>
      <w:r w:rsidR="00030C83" w:rsidRPr="001800BA">
        <w:rPr>
          <w:rFonts w:ascii="Verdana" w:hAnsi="Verdana"/>
          <w:sz w:val="24"/>
          <w:szCs w:val="24"/>
        </w:rPr>
        <w:t xml:space="preserve">re are currently two </w:t>
      </w:r>
      <w:r w:rsidR="00D6710E" w:rsidRPr="001800BA">
        <w:rPr>
          <w:rFonts w:ascii="Verdana" w:hAnsi="Verdana"/>
          <w:sz w:val="24"/>
          <w:szCs w:val="24"/>
        </w:rPr>
        <w:t xml:space="preserve">related </w:t>
      </w:r>
      <w:r w:rsidRPr="001800BA">
        <w:rPr>
          <w:rFonts w:ascii="Verdana" w:hAnsi="Verdana"/>
          <w:sz w:val="24"/>
          <w:szCs w:val="24"/>
        </w:rPr>
        <w:t>consultative committee</w:t>
      </w:r>
      <w:r w:rsidR="00655FED" w:rsidRPr="001800BA">
        <w:rPr>
          <w:rFonts w:ascii="Verdana" w:hAnsi="Verdana"/>
          <w:sz w:val="24"/>
          <w:szCs w:val="24"/>
        </w:rPr>
        <w:t>s</w:t>
      </w:r>
      <w:r w:rsidRPr="001800BA">
        <w:rPr>
          <w:rFonts w:ascii="Verdana" w:hAnsi="Verdana"/>
          <w:sz w:val="24"/>
          <w:szCs w:val="24"/>
        </w:rPr>
        <w:t xml:space="preserve"> dealing</w:t>
      </w:r>
      <w:r w:rsidR="007E514B">
        <w:rPr>
          <w:rFonts w:ascii="Verdana" w:hAnsi="Verdana"/>
          <w:sz w:val="24"/>
          <w:szCs w:val="24"/>
        </w:rPr>
        <w:t xml:space="preserve"> </w:t>
      </w:r>
      <w:r w:rsidRPr="001800BA">
        <w:rPr>
          <w:rFonts w:ascii="Verdana" w:hAnsi="Verdana"/>
          <w:sz w:val="24"/>
          <w:szCs w:val="24"/>
        </w:rPr>
        <w:t xml:space="preserve">with </w:t>
      </w:r>
      <w:r w:rsidR="00030C83" w:rsidRPr="001800BA">
        <w:rPr>
          <w:rFonts w:ascii="Verdana" w:hAnsi="Verdana"/>
          <w:sz w:val="24"/>
          <w:szCs w:val="24"/>
        </w:rPr>
        <w:t xml:space="preserve">domestic </w:t>
      </w:r>
      <w:r w:rsidR="00D6710E" w:rsidRPr="001800BA">
        <w:rPr>
          <w:rFonts w:ascii="Verdana" w:hAnsi="Verdana"/>
          <w:sz w:val="24"/>
          <w:szCs w:val="24"/>
        </w:rPr>
        <w:t xml:space="preserve">heating and </w:t>
      </w:r>
      <w:r w:rsidR="00030C83" w:rsidRPr="001800BA">
        <w:rPr>
          <w:rFonts w:ascii="Verdana" w:hAnsi="Verdana"/>
          <w:sz w:val="24"/>
          <w:szCs w:val="24"/>
        </w:rPr>
        <w:t xml:space="preserve">plumbing.  </w:t>
      </w:r>
    </w:p>
    <w:p w:rsidR="00D6710E" w:rsidRPr="001800BA" w:rsidRDefault="00030C83">
      <w:pPr>
        <w:rPr>
          <w:rFonts w:ascii="Verdana" w:hAnsi="Verdana"/>
          <w:sz w:val="24"/>
          <w:szCs w:val="24"/>
        </w:rPr>
      </w:pPr>
      <w:r w:rsidRPr="001800BA">
        <w:rPr>
          <w:rFonts w:ascii="Verdana" w:hAnsi="Verdana"/>
          <w:sz w:val="24"/>
          <w:szCs w:val="24"/>
        </w:rPr>
        <w:t>T</w:t>
      </w:r>
      <w:r w:rsidR="00655FED" w:rsidRPr="001800BA">
        <w:rPr>
          <w:rFonts w:ascii="Verdana" w:hAnsi="Verdana"/>
          <w:sz w:val="24"/>
          <w:szCs w:val="24"/>
        </w:rPr>
        <w:t>he</w:t>
      </w:r>
      <w:r w:rsidR="00D6710E" w:rsidRPr="001800BA">
        <w:rPr>
          <w:rFonts w:ascii="Verdana" w:hAnsi="Verdana"/>
          <w:sz w:val="24"/>
          <w:szCs w:val="24"/>
        </w:rPr>
        <w:t>se are -</w:t>
      </w:r>
    </w:p>
    <w:p w:rsidR="00D6710E" w:rsidRPr="001800BA" w:rsidRDefault="00331944" w:rsidP="00D6710E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FE5F9F">
        <w:rPr>
          <w:rFonts w:ascii="Verdana" w:hAnsi="Verdana"/>
          <w:u w:val="single"/>
        </w:rPr>
        <w:t xml:space="preserve">Building Services </w:t>
      </w:r>
      <w:r w:rsidR="004B70DD" w:rsidRPr="00FE5F9F">
        <w:rPr>
          <w:rFonts w:ascii="Verdana" w:hAnsi="Verdana"/>
          <w:u w:val="single"/>
        </w:rPr>
        <w:t xml:space="preserve">Consultative </w:t>
      </w:r>
      <w:r w:rsidRPr="00FE5F9F">
        <w:rPr>
          <w:rFonts w:ascii="Verdana" w:hAnsi="Verdana"/>
          <w:u w:val="single"/>
        </w:rPr>
        <w:t>Committee</w:t>
      </w:r>
      <w:r w:rsidR="00AB1E0C">
        <w:rPr>
          <w:rFonts w:ascii="Verdana" w:hAnsi="Verdana"/>
        </w:rPr>
        <w:t xml:space="preserve"> (TC 31)</w:t>
      </w:r>
      <w:r w:rsidR="00655FED" w:rsidRPr="001800BA">
        <w:rPr>
          <w:rFonts w:ascii="Verdana" w:hAnsi="Verdana"/>
        </w:rPr>
        <w:t xml:space="preserve"> </w:t>
      </w:r>
      <w:r w:rsidR="002B0DD6">
        <w:rPr>
          <w:rFonts w:ascii="Verdana" w:hAnsi="Verdana"/>
        </w:rPr>
        <w:t>developing the</w:t>
      </w:r>
      <w:r w:rsidR="00D6710E" w:rsidRPr="001800BA">
        <w:rPr>
          <w:rFonts w:ascii="Verdana" w:hAnsi="Verdana"/>
        </w:rPr>
        <w:t xml:space="preserve"> Code of Practice for </w:t>
      </w:r>
      <w:r w:rsidR="00AB1E0C">
        <w:rPr>
          <w:rFonts w:ascii="Verdana" w:hAnsi="Verdana"/>
        </w:rPr>
        <w:t>Domestic</w:t>
      </w:r>
      <w:r w:rsidR="00030C83" w:rsidRPr="001800BA">
        <w:rPr>
          <w:rFonts w:ascii="Verdana" w:hAnsi="Verdana"/>
        </w:rPr>
        <w:t xml:space="preserve"> </w:t>
      </w:r>
      <w:r w:rsidR="00655FED" w:rsidRPr="001800BA">
        <w:rPr>
          <w:rFonts w:ascii="Verdana" w:hAnsi="Verdana"/>
        </w:rPr>
        <w:t>Hot Water and Heating</w:t>
      </w:r>
      <w:r w:rsidR="00030C83" w:rsidRPr="001800BA">
        <w:rPr>
          <w:rFonts w:ascii="Verdana" w:hAnsi="Verdana"/>
        </w:rPr>
        <w:t>,</w:t>
      </w:r>
      <w:r w:rsidR="00655FED" w:rsidRPr="001800BA">
        <w:rPr>
          <w:rFonts w:ascii="Verdana" w:hAnsi="Verdana"/>
        </w:rPr>
        <w:t xml:space="preserve"> and </w:t>
      </w:r>
    </w:p>
    <w:p w:rsidR="00D6710E" w:rsidRPr="001800BA" w:rsidRDefault="00655FED" w:rsidP="00D6710E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FE5F9F">
        <w:rPr>
          <w:rFonts w:ascii="Verdana" w:hAnsi="Verdana"/>
          <w:u w:val="single"/>
        </w:rPr>
        <w:t xml:space="preserve">Water </w:t>
      </w:r>
      <w:r w:rsidR="004B70DD" w:rsidRPr="00FE5F9F">
        <w:rPr>
          <w:rFonts w:ascii="Verdana" w:hAnsi="Verdana"/>
          <w:u w:val="single"/>
        </w:rPr>
        <w:t xml:space="preserve">Supply Standards Consultative </w:t>
      </w:r>
      <w:r w:rsidRPr="00FE5F9F">
        <w:rPr>
          <w:rFonts w:ascii="Verdana" w:hAnsi="Verdana"/>
          <w:u w:val="single"/>
        </w:rPr>
        <w:t>Committee</w:t>
      </w:r>
      <w:r w:rsidRPr="001800BA">
        <w:rPr>
          <w:rFonts w:ascii="Verdana" w:hAnsi="Verdana"/>
        </w:rPr>
        <w:t xml:space="preserve"> </w:t>
      </w:r>
      <w:r w:rsidR="00AB1E0C">
        <w:rPr>
          <w:rFonts w:ascii="Verdana" w:hAnsi="Verdana"/>
        </w:rPr>
        <w:t xml:space="preserve">(TC 10) </w:t>
      </w:r>
      <w:r w:rsidR="00D6710E" w:rsidRPr="001800BA">
        <w:rPr>
          <w:rFonts w:ascii="Verdana" w:hAnsi="Verdana"/>
        </w:rPr>
        <w:t xml:space="preserve">developing a similar Code for </w:t>
      </w:r>
      <w:r w:rsidR="00030C83" w:rsidRPr="001800BA">
        <w:rPr>
          <w:rFonts w:ascii="Verdana" w:hAnsi="Verdana"/>
        </w:rPr>
        <w:t>D</w:t>
      </w:r>
      <w:r w:rsidRPr="001800BA">
        <w:rPr>
          <w:rFonts w:ascii="Verdana" w:hAnsi="Verdana"/>
        </w:rPr>
        <w:t xml:space="preserve">omestic </w:t>
      </w:r>
      <w:r w:rsidR="00D6710E" w:rsidRPr="001800BA">
        <w:rPr>
          <w:rFonts w:ascii="Verdana" w:hAnsi="Verdana"/>
        </w:rPr>
        <w:t>P</w:t>
      </w:r>
      <w:r w:rsidRPr="001800BA">
        <w:rPr>
          <w:rFonts w:ascii="Verdana" w:hAnsi="Verdana"/>
        </w:rPr>
        <w:t xml:space="preserve">lumbing for </w:t>
      </w:r>
      <w:r w:rsidR="00D6710E" w:rsidRPr="001800BA">
        <w:rPr>
          <w:rFonts w:ascii="Verdana" w:hAnsi="Verdana"/>
        </w:rPr>
        <w:t>Co</w:t>
      </w:r>
      <w:r w:rsidRPr="001800BA">
        <w:rPr>
          <w:rFonts w:ascii="Verdana" w:hAnsi="Verdana"/>
        </w:rPr>
        <w:t xml:space="preserve">ld </w:t>
      </w:r>
      <w:r w:rsidR="00D6710E" w:rsidRPr="001800BA">
        <w:rPr>
          <w:rFonts w:ascii="Verdana" w:hAnsi="Verdana"/>
        </w:rPr>
        <w:t>W</w:t>
      </w:r>
      <w:r w:rsidRPr="001800BA">
        <w:rPr>
          <w:rFonts w:ascii="Verdana" w:hAnsi="Verdana"/>
        </w:rPr>
        <w:t xml:space="preserve">ater </w:t>
      </w:r>
      <w:r w:rsidR="00D6710E" w:rsidRPr="001800BA">
        <w:rPr>
          <w:rFonts w:ascii="Verdana" w:hAnsi="Verdana"/>
        </w:rPr>
        <w:t>S</w:t>
      </w:r>
      <w:r w:rsidRPr="001800BA">
        <w:rPr>
          <w:rFonts w:ascii="Verdana" w:hAnsi="Verdana"/>
        </w:rPr>
        <w:t>ystems</w:t>
      </w:r>
      <w:r w:rsidR="00331944" w:rsidRPr="001800BA">
        <w:rPr>
          <w:rFonts w:ascii="Verdana" w:hAnsi="Verdana"/>
        </w:rPr>
        <w:t>.</w:t>
      </w:r>
      <w:r w:rsidR="00D6710E" w:rsidRPr="001800BA">
        <w:rPr>
          <w:rFonts w:ascii="Verdana" w:hAnsi="Verdana"/>
        </w:rPr>
        <w:t xml:space="preserve">  </w:t>
      </w:r>
    </w:p>
    <w:p w:rsidR="00D6710E" w:rsidRPr="001800BA" w:rsidRDefault="00D6710E">
      <w:pPr>
        <w:rPr>
          <w:rFonts w:ascii="Verdana" w:hAnsi="Verdana"/>
          <w:sz w:val="24"/>
          <w:szCs w:val="24"/>
        </w:rPr>
      </w:pPr>
    </w:p>
    <w:p w:rsidR="009938BA" w:rsidRPr="009938BA" w:rsidRDefault="00324E0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These </w:t>
      </w:r>
      <w:r w:rsidR="00D6710E" w:rsidRPr="009938BA">
        <w:rPr>
          <w:rFonts w:ascii="Verdana" w:hAnsi="Verdana"/>
          <w:sz w:val="24"/>
          <w:szCs w:val="24"/>
        </w:rPr>
        <w:t xml:space="preserve">Committees </w:t>
      </w:r>
      <w:r>
        <w:rPr>
          <w:rFonts w:ascii="Verdana" w:hAnsi="Verdana"/>
          <w:sz w:val="24"/>
          <w:szCs w:val="24"/>
        </w:rPr>
        <w:t xml:space="preserve">currently </w:t>
      </w:r>
      <w:r w:rsidR="004E45AD" w:rsidRPr="009938BA">
        <w:rPr>
          <w:rFonts w:ascii="Verdana" w:hAnsi="Verdana"/>
          <w:sz w:val="24"/>
          <w:szCs w:val="24"/>
        </w:rPr>
        <w:t xml:space="preserve">comprise </w:t>
      </w:r>
      <w:r w:rsidR="00D6710E" w:rsidRPr="009938BA">
        <w:rPr>
          <w:rFonts w:ascii="Verdana" w:hAnsi="Verdana"/>
          <w:sz w:val="24"/>
          <w:szCs w:val="24"/>
        </w:rPr>
        <w:t xml:space="preserve">representatives from </w:t>
      </w:r>
      <w:r w:rsidR="00BD2C03">
        <w:rPr>
          <w:rFonts w:ascii="Verdana" w:hAnsi="Verdana"/>
          <w:sz w:val="24"/>
          <w:szCs w:val="24"/>
        </w:rPr>
        <w:t>policy makers</w:t>
      </w:r>
      <w:r w:rsidR="002B0DD6">
        <w:rPr>
          <w:rFonts w:ascii="Verdana" w:hAnsi="Verdana"/>
          <w:sz w:val="24"/>
          <w:szCs w:val="24"/>
        </w:rPr>
        <w:t>/regulators</w:t>
      </w:r>
      <w:r w:rsidR="00AB1E0C">
        <w:rPr>
          <w:rFonts w:ascii="Verdana" w:hAnsi="Verdana"/>
          <w:sz w:val="24"/>
          <w:szCs w:val="24"/>
        </w:rPr>
        <w:t xml:space="preserve">, manufacturers, </w:t>
      </w:r>
      <w:r w:rsidR="002B0DD6">
        <w:rPr>
          <w:rFonts w:ascii="Verdana" w:hAnsi="Verdana"/>
          <w:sz w:val="24"/>
          <w:szCs w:val="24"/>
        </w:rPr>
        <w:t>trade associations, local authorities</w:t>
      </w:r>
      <w:r w:rsidR="00AB1E0C">
        <w:rPr>
          <w:rFonts w:ascii="Verdana" w:hAnsi="Verdana"/>
          <w:sz w:val="24"/>
          <w:szCs w:val="24"/>
        </w:rPr>
        <w:t xml:space="preserve">, </w:t>
      </w:r>
      <w:r w:rsidR="007115F2">
        <w:rPr>
          <w:rFonts w:ascii="Verdana" w:hAnsi="Verdana"/>
          <w:sz w:val="24"/>
          <w:szCs w:val="24"/>
        </w:rPr>
        <w:t>academia</w:t>
      </w:r>
      <w:r w:rsidR="002B0DD6">
        <w:rPr>
          <w:rFonts w:ascii="Verdana" w:hAnsi="Verdana"/>
          <w:sz w:val="24"/>
          <w:szCs w:val="24"/>
        </w:rPr>
        <w:t>, insurers, private water suppliers, consultants</w:t>
      </w:r>
      <w:r w:rsidR="00AB1E0C">
        <w:rPr>
          <w:rFonts w:ascii="Verdana" w:hAnsi="Verdana"/>
          <w:sz w:val="24"/>
          <w:szCs w:val="24"/>
        </w:rPr>
        <w:t xml:space="preserve"> and installers</w:t>
      </w:r>
      <w:r w:rsidR="002B0DD6">
        <w:rPr>
          <w:rFonts w:ascii="Verdana" w:hAnsi="Verdana"/>
          <w:sz w:val="24"/>
          <w:szCs w:val="24"/>
        </w:rPr>
        <w:t>.</w:t>
      </w:r>
      <w:r w:rsidR="004E3500">
        <w:rPr>
          <w:rFonts w:ascii="Verdana" w:hAnsi="Verdana"/>
          <w:sz w:val="24"/>
          <w:szCs w:val="24"/>
        </w:rPr>
        <w:t xml:space="preserve"> </w:t>
      </w:r>
      <w:r w:rsidR="00BD2C03">
        <w:rPr>
          <w:rFonts w:ascii="Verdana" w:hAnsi="Verdana"/>
          <w:sz w:val="24"/>
          <w:szCs w:val="24"/>
        </w:rPr>
        <w:t xml:space="preserve"> </w:t>
      </w:r>
      <w:r w:rsidR="007A3ED5">
        <w:rPr>
          <w:rFonts w:ascii="Verdana" w:hAnsi="Verdana"/>
          <w:sz w:val="24"/>
          <w:szCs w:val="24"/>
        </w:rPr>
        <w:t xml:space="preserve">The </w:t>
      </w:r>
      <w:r w:rsidR="00BD2C03">
        <w:rPr>
          <w:rFonts w:ascii="Verdana" w:hAnsi="Verdana"/>
          <w:sz w:val="24"/>
          <w:szCs w:val="24"/>
        </w:rPr>
        <w:t xml:space="preserve">two </w:t>
      </w:r>
      <w:r>
        <w:rPr>
          <w:rFonts w:ascii="Verdana" w:hAnsi="Verdana"/>
          <w:sz w:val="24"/>
          <w:szCs w:val="24"/>
        </w:rPr>
        <w:t>Committees liaise through nominated members to ensure there is no overlap and the necessary cross</w:t>
      </w:r>
      <w:r w:rsidR="00BD2C03">
        <w:rPr>
          <w:rFonts w:ascii="Verdana" w:hAnsi="Verdana"/>
          <w:sz w:val="24"/>
          <w:szCs w:val="24"/>
        </w:rPr>
        <w:t>-</w:t>
      </w:r>
      <w:r>
        <w:rPr>
          <w:rFonts w:ascii="Verdana" w:hAnsi="Verdana"/>
          <w:sz w:val="24"/>
          <w:szCs w:val="24"/>
        </w:rPr>
        <w:t xml:space="preserve">referencing can take place. </w:t>
      </w:r>
      <w:r w:rsidR="00C92306" w:rsidRPr="00593AEE">
        <w:rPr>
          <w:rFonts w:ascii="Verdana" w:hAnsi="Verdana"/>
          <w:color w:val="FF0000"/>
          <w:sz w:val="24"/>
          <w:szCs w:val="24"/>
        </w:rPr>
        <w:t xml:space="preserve"> </w:t>
      </w:r>
    </w:p>
    <w:p w:rsidR="002B0DD6" w:rsidRDefault="002B0DD6">
      <w:pPr>
        <w:rPr>
          <w:rFonts w:ascii="Verdana" w:hAnsi="Verdana"/>
          <w:sz w:val="24"/>
          <w:szCs w:val="24"/>
        </w:rPr>
      </w:pPr>
    </w:p>
    <w:p w:rsidR="009938BA" w:rsidRDefault="00BD2C0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There are normally five stages in the standards development process -</w:t>
      </w:r>
    </w:p>
    <w:p w:rsidR="009938BA" w:rsidRPr="009938BA" w:rsidRDefault="009938BA" w:rsidP="009938BA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sz w:val="24"/>
          <w:szCs w:val="24"/>
          <w:lang w:val="en" w:eastAsia="en-IE"/>
        </w:rPr>
      </w:pPr>
      <w:r w:rsidRPr="009938BA">
        <w:rPr>
          <w:rFonts w:ascii="Verdana" w:eastAsia="Times New Roman" w:hAnsi="Verdana" w:cs="Arial"/>
          <w:sz w:val="24"/>
          <w:szCs w:val="24"/>
          <w:lang w:val="en" w:eastAsia="en-IE"/>
        </w:rPr>
        <w:t>Identifying the need</w:t>
      </w:r>
      <w:r w:rsidR="00BD2C03">
        <w:rPr>
          <w:rFonts w:ascii="Verdana" w:eastAsia="Times New Roman" w:hAnsi="Verdana" w:cs="Arial"/>
          <w:sz w:val="24"/>
          <w:szCs w:val="24"/>
          <w:lang w:val="en" w:eastAsia="en-IE"/>
        </w:rPr>
        <w:t>s</w:t>
      </w:r>
      <w:r w:rsidRPr="009938BA">
        <w:rPr>
          <w:rFonts w:ascii="Verdana" w:eastAsia="Times New Roman" w:hAnsi="Verdana" w:cs="Arial"/>
          <w:sz w:val="24"/>
          <w:szCs w:val="24"/>
          <w:lang w:val="en" w:eastAsia="en-IE"/>
        </w:rPr>
        <w:t xml:space="preserve"> </w:t>
      </w:r>
      <w:r w:rsidR="00BD2C03">
        <w:rPr>
          <w:rFonts w:ascii="Verdana" w:eastAsia="Times New Roman" w:hAnsi="Verdana" w:cs="Arial"/>
          <w:sz w:val="24"/>
          <w:szCs w:val="24"/>
          <w:lang w:val="en" w:eastAsia="en-IE"/>
        </w:rPr>
        <w:t xml:space="preserve">and benefits of </w:t>
      </w:r>
      <w:r w:rsidRPr="009938BA">
        <w:rPr>
          <w:rFonts w:ascii="Verdana" w:eastAsia="Times New Roman" w:hAnsi="Verdana" w:cs="Arial"/>
          <w:sz w:val="24"/>
          <w:szCs w:val="24"/>
          <w:lang w:val="en" w:eastAsia="en-IE"/>
        </w:rPr>
        <w:t>a standard</w:t>
      </w:r>
    </w:p>
    <w:p w:rsidR="009938BA" w:rsidRPr="009938BA" w:rsidRDefault="009938BA" w:rsidP="009938BA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sz w:val="24"/>
          <w:szCs w:val="24"/>
          <w:lang w:val="en" w:eastAsia="en-IE"/>
        </w:rPr>
      </w:pPr>
      <w:r w:rsidRPr="009938BA">
        <w:rPr>
          <w:rFonts w:ascii="Verdana" w:eastAsia="Times New Roman" w:hAnsi="Verdana" w:cs="Arial"/>
          <w:sz w:val="24"/>
          <w:szCs w:val="24"/>
          <w:lang w:val="en" w:eastAsia="en-IE"/>
        </w:rPr>
        <w:t>Defining the scope (e.g. identify the technical, environmental or safety specifications which need to be set)</w:t>
      </w:r>
    </w:p>
    <w:p w:rsidR="009938BA" w:rsidRPr="009938BA" w:rsidRDefault="009938BA" w:rsidP="009938BA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sz w:val="24"/>
          <w:szCs w:val="24"/>
          <w:lang w:val="en" w:eastAsia="en-IE"/>
        </w:rPr>
      </w:pPr>
      <w:r w:rsidRPr="009938BA">
        <w:rPr>
          <w:rFonts w:ascii="Verdana" w:eastAsia="Times New Roman" w:hAnsi="Verdana" w:cs="Arial"/>
          <w:sz w:val="24"/>
          <w:szCs w:val="24"/>
          <w:lang w:val="en" w:eastAsia="en-IE"/>
        </w:rPr>
        <w:t>Consultation with a view to achieving a consensus</w:t>
      </w:r>
    </w:p>
    <w:p w:rsidR="009938BA" w:rsidRPr="009938BA" w:rsidRDefault="009938BA" w:rsidP="009938BA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sz w:val="24"/>
          <w:szCs w:val="24"/>
          <w:lang w:val="en" w:eastAsia="en-IE"/>
        </w:rPr>
      </w:pPr>
      <w:r w:rsidRPr="009938BA">
        <w:rPr>
          <w:rFonts w:ascii="Verdana" w:eastAsia="Times New Roman" w:hAnsi="Verdana" w:cs="Arial"/>
          <w:sz w:val="24"/>
          <w:szCs w:val="24"/>
          <w:lang w:val="en" w:eastAsia="en-IE"/>
        </w:rPr>
        <w:t>Public enquiry</w:t>
      </w:r>
    </w:p>
    <w:p w:rsidR="009938BA" w:rsidRPr="009938BA" w:rsidRDefault="009938BA" w:rsidP="009938BA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sz w:val="24"/>
          <w:szCs w:val="24"/>
          <w:lang w:val="en" w:eastAsia="en-IE"/>
        </w:rPr>
      </w:pPr>
      <w:r w:rsidRPr="009938BA">
        <w:rPr>
          <w:rFonts w:ascii="Verdana" w:eastAsia="Times New Roman" w:hAnsi="Verdana" w:cs="Arial"/>
          <w:sz w:val="24"/>
          <w:szCs w:val="24"/>
          <w:lang w:val="en" w:eastAsia="en-IE"/>
        </w:rPr>
        <w:t>Publication</w:t>
      </w:r>
    </w:p>
    <w:p w:rsidR="00331944" w:rsidRPr="009938BA" w:rsidRDefault="00331944">
      <w:pPr>
        <w:rPr>
          <w:rFonts w:ascii="Verdana" w:hAnsi="Verdana"/>
          <w:sz w:val="24"/>
          <w:szCs w:val="24"/>
        </w:rPr>
      </w:pPr>
    </w:p>
    <w:p w:rsidR="001F24C7" w:rsidRDefault="00324E09" w:rsidP="0018018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As member of the European</w:t>
      </w:r>
      <w:r w:rsidR="001F24C7">
        <w:rPr>
          <w:rStyle w:val="FootnoteReference"/>
          <w:rFonts w:ascii="Verdana" w:hAnsi="Verdana"/>
          <w:sz w:val="24"/>
          <w:szCs w:val="24"/>
        </w:rPr>
        <w:footnoteReference w:id="1"/>
      </w:r>
      <w:r>
        <w:rPr>
          <w:rFonts w:ascii="Verdana" w:hAnsi="Verdana"/>
          <w:sz w:val="24"/>
          <w:szCs w:val="24"/>
        </w:rPr>
        <w:t xml:space="preserve"> and international standards organisations</w:t>
      </w:r>
      <w:r w:rsidR="001F24C7">
        <w:rPr>
          <w:rStyle w:val="FootnoteReference"/>
          <w:rFonts w:ascii="Verdana" w:hAnsi="Verdana"/>
          <w:sz w:val="24"/>
          <w:szCs w:val="24"/>
        </w:rPr>
        <w:footnoteReference w:id="2"/>
      </w:r>
      <w:r>
        <w:rPr>
          <w:rFonts w:ascii="Verdana" w:hAnsi="Verdana"/>
          <w:sz w:val="24"/>
          <w:szCs w:val="24"/>
        </w:rPr>
        <w:t xml:space="preserve"> NSAI </w:t>
      </w:r>
      <w:r w:rsidR="001F24C7">
        <w:rPr>
          <w:rFonts w:ascii="Verdana" w:hAnsi="Verdana"/>
          <w:sz w:val="24"/>
          <w:szCs w:val="24"/>
        </w:rPr>
        <w:t>can</w:t>
      </w:r>
      <w:r>
        <w:rPr>
          <w:rFonts w:ascii="Verdana" w:hAnsi="Verdana"/>
          <w:sz w:val="24"/>
          <w:szCs w:val="24"/>
        </w:rPr>
        <w:t xml:space="preserve"> only undertake national standardisation work in the absence of suitable standards </w:t>
      </w:r>
      <w:r w:rsidR="00F921B7">
        <w:rPr>
          <w:rFonts w:ascii="Verdana" w:hAnsi="Verdana"/>
          <w:sz w:val="24"/>
          <w:szCs w:val="24"/>
        </w:rPr>
        <w:t>being published by t</w:t>
      </w:r>
      <w:r w:rsidR="001F24C7">
        <w:rPr>
          <w:rFonts w:ascii="Verdana" w:hAnsi="Verdana"/>
          <w:sz w:val="24"/>
          <w:szCs w:val="24"/>
        </w:rPr>
        <w:t xml:space="preserve">hese bodies.  </w:t>
      </w:r>
      <w:r w:rsidR="00F921B7">
        <w:rPr>
          <w:rFonts w:ascii="Verdana" w:hAnsi="Verdana"/>
          <w:sz w:val="24"/>
          <w:szCs w:val="24"/>
        </w:rPr>
        <w:t>Furthermore</w:t>
      </w:r>
      <w:r w:rsidR="00BD2C03">
        <w:rPr>
          <w:rFonts w:ascii="Verdana" w:hAnsi="Verdana"/>
          <w:sz w:val="24"/>
          <w:szCs w:val="24"/>
        </w:rPr>
        <w:t>,</w:t>
      </w:r>
      <w:r w:rsidR="00F921B7">
        <w:rPr>
          <w:rFonts w:ascii="Verdana" w:hAnsi="Verdana"/>
          <w:sz w:val="24"/>
          <w:szCs w:val="24"/>
        </w:rPr>
        <w:t xml:space="preserve"> in the interests of global and EU trade,</w:t>
      </w:r>
      <w:r w:rsidR="001F24C7">
        <w:rPr>
          <w:rFonts w:ascii="Verdana" w:hAnsi="Verdana"/>
          <w:sz w:val="24"/>
          <w:szCs w:val="24"/>
        </w:rPr>
        <w:t xml:space="preserve"> NSAI is obliged to adopt such European or international standards as national standards and ensure any existing national publications are compatible with their content.  </w:t>
      </w:r>
    </w:p>
    <w:p w:rsidR="0018018D" w:rsidRDefault="0018018D" w:rsidP="0018018D">
      <w:pPr>
        <w:rPr>
          <w:rFonts w:ascii="Verdana" w:hAnsi="Verdana"/>
          <w:b/>
          <w:sz w:val="24"/>
          <w:szCs w:val="24"/>
        </w:rPr>
      </w:pPr>
    </w:p>
    <w:p w:rsidR="0018018D" w:rsidRDefault="0018018D" w:rsidP="0018018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European Standards</w:t>
      </w:r>
    </w:p>
    <w:p w:rsidR="001962CC" w:rsidRDefault="00BD2C03" w:rsidP="00FE5F9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In all European member states the </w:t>
      </w:r>
      <w:r w:rsidR="00E13930">
        <w:rPr>
          <w:rFonts w:ascii="Verdana" w:hAnsi="Verdana"/>
          <w:sz w:val="24"/>
          <w:szCs w:val="24"/>
        </w:rPr>
        <w:t xml:space="preserve">regulation of </w:t>
      </w:r>
      <w:r w:rsidR="001F24C7">
        <w:rPr>
          <w:rFonts w:ascii="Verdana" w:hAnsi="Verdana"/>
          <w:sz w:val="24"/>
          <w:szCs w:val="24"/>
        </w:rPr>
        <w:t>supply of drinking water and the quality of drinking water are matters for the appropriate agencies and bodies charged with those responsibilities</w:t>
      </w:r>
      <w:r w:rsidR="001962CC">
        <w:rPr>
          <w:rFonts w:ascii="Verdana" w:hAnsi="Verdana"/>
          <w:sz w:val="24"/>
          <w:szCs w:val="24"/>
        </w:rPr>
        <w:t>.</w:t>
      </w:r>
    </w:p>
    <w:p w:rsidR="00EA4C34" w:rsidRPr="00990D5C" w:rsidRDefault="001962C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</w:t>
      </w:r>
      <w:r w:rsidR="00FF1FC9">
        <w:rPr>
          <w:rFonts w:ascii="Verdana" w:hAnsi="Verdana"/>
          <w:sz w:val="24"/>
          <w:szCs w:val="24"/>
        </w:rPr>
        <w:t xml:space="preserve">t </w:t>
      </w:r>
      <w:r w:rsidR="002B0DD6">
        <w:rPr>
          <w:rFonts w:ascii="Verdana" w:hAnsi="Verdana"/>
          <w:sz w:val="24"/>
          <w:szCs w:val="24"/>
        </w:rPr>
        <w:t xml:space="preserve">is </w:t>
      </w:r>
      <w:r w:rsidR="00FF1FC9">
        <w:rPr>
          <w:rFonts w:ascii="Verdana" w:hAnsi="Verdana"/>
          <w:sz w:val="24"/>
          <w:szCs w:val="24"/>
        </w:rPr>
        <w:t xml:space="preserve">well recognised </w:t>
      </w:r>
      <w:r w:rsidR="002B0DD6">
        <w:rPr>
          <w:rFonts w:ascii="Verdana" w:hAnsi="Verdana"/>
          <w:sz w:val="24"/>
          <w:szCs w:val="24"/>
        </w:rPr>
        <w:t xml:space="preserve">fundamental design principle </w:t>
      </w:r>
      <w:r w:rsidR="002318C5">
        <w:rPr>
          <w:rFonts w:ascii="Verdana" w:hAnsi="Verdana"/>
          <w:sz w:val="24"/>
          <w:szCs w:val="24"/>
        </w:rPr>
        <w:t xml:space="preserve">when designing, installing or maintaining water supply systems </w:t>
      </w:r>
      <w:r w:rsidR="00FF1FC9">
        <w:rPr>
          <w:rFonts w:ascii="Verdana" w:hAnsi="Verdana"/>
          <w:sz w:val="24"/>
          <w:szCs w:val="24"/>
        </w:rPr>
        <w:t xml:space="preserve">that </w:t>
      </w:r>
      <w:r w:rsidR="002318C5">
        <w:rPr>
          <w:rFonts w:ascii="Verdana" w:hAnsi="Verdana"/>
          <w:sz w:val="24"/>
          <w:szCs w:val="24"/>
        </w:rPr>
        <w:t>potable water installations must be protected from contamination, e.g. through backflow from central heating systems</w:t>
      </w:r>
      <w:r w:rsidR="007115F2">
        <w:rPr>
          <w:rFonts w:ascii="Verdana" w:hAnsi="Verdana"/>
          <w:sz w:val="24"/>
          <w:szCs w:val="24"/>
        </w:rPr>
        <w:t xml:space="preserve">. </w:t>
      </w:r>
      <w:r w:rsidR="00E13930">
        <w:rPr>
          <w:rFonts w:ascii="Verdana" w:hAnsi="Verdana"/>
          <w:sz w:val="24"/>
          <w:szCs w:val="24"/>
        </w:rPr>
        <w:t xml:space="preserve"> </w:t>
      </w:r>
      <w:r w:rsidR="00F921B7">
        <w:rPr>
          <w:rFonts w:ascii="Verdana" w:hAnsi="Verdana"/>
          <w:sz w:val="24"/>
          <w:szCs w:val="24"/>
        </w:rPr>
        <w:t>Several</w:t>
      </w:r>
      <w:r w:rsidR="00C87A0D">
        <w:rPr>
          <w:rFonts w:ascii="Verdana" w:hAnsi="Verdana"/>
          <w:sz w:val="24"/>
          <w:szCs w:val="24"/>
        </w:rPr>
        <w:t xml:space="preserve"> </w:t>
      </w:r>
      <w:r w:rsidR="007115F2">
        <w:rPr>
          <w:rFonts w:ascii="Verdana" w:hAnsi="Verdana"/>
          <w:sz w:val="24"/>
          <w:szCs w:val="24"/>
        </w:rPr>
        <w:t xml:space="preserve">Irish </w:t>
      </w:r>
      <w:r w:rsidR="00EA4C34" w:rsidRPr="00AB1E0C">
        <w:rPr>
          <w:rFonts w:ascii="Verdana" w:hAnsi="Verdana"/>
          <w:sz w:val="24"/>
          <w:szCs w:val="24"/>
        </w:rPr>
        <w:t>standards</w:t>
      </w:r>
      <w:r w:rsidR="007115F2">
        <w:rPr>
          <w:rFonts w:ascii="Verdana" w:hAnsi="Verdana"/>
          <w:sz w:val="24"/>
          <w:szCs w:val="24"/>
        </w:rPr>
        <w:t xml:space="preserve">, </w:t>
      </w:r>
      <w:r w:rsidR="00EA4C34" w:rsidRPr="00AB1E0C">
        <w:rPr>
          <w:rFonts w:ascii="Verdana" w:hAnsi="Verdana"/>
          <w:sz w:val="24"/>
          <w:szCs w:val="24"/>
        </w:rPr>
        <w:t>developed through the European system</w:t>
      </w:r>
      <w:r w:rsidR="007115F2">
        <w:rPr>
          <w:rFonts w:ascii="Verdana" w:hAnsi="Verdana"/>
          <w:sz w:val="24"/>
          <w:szCs w:val="24"/>
        </w:rPr>
        <w:t xml:space="preserve">, give guidance </w:t>
      </w:r>
      <w:r w:rsidR="00F921B7">
        <w:rPr>
          <w:rFonts w:ascii="Verdana" w:hAnsi="Verdana"/>
          <w:sz w:val="24"/>
          <w:szCs w:val="24"/>
        </w:rPr>
        <w:t>in relation to this issue</w:t>
      </w:r>
      <w:r w:rsidR="007115F2">
        <w:rPr>
          <w:rFonts w:ascii="Verdana" w:hAnsi="Verdana"/>
          <w:sz w:val="24"/>
          <w:szCs w:val="24"/>
        </w:rPr>
        <w:t xml:space="preserve"> and include</w:t>
      </w:r>
      <w:r w:rsidR="00990D5C">
        <w:rPr>
          <w:rFonts w:ascii="Verdana" w:hAnsi="Verdana"/>
          <w:sz w:val="24"/>
          <w:szCs w:val="24"/>
        </w:rPr>
        <w:t>:</w:t>
      </w:r>
    </w:p>
    <w:p w:rsidR="00D10A85" w:rsidRPr="00FE5F9F" w:rsidRDefault="009C4B8A" w:rsidP="00593AEE">
      <w:pPr>
        <w:pStyle w:val="ListParagraph"/>
        <w:numPr>
          <w:ilvl w:val="0"/>
          <w:numId w:val="9"/>
        </w:numPr>
        <w:rPr>
          <w:rFonts w:ascii="Verdana" w:hAnsi="Verdana"/>
          <w:sz w:val="22"/>
          <w:szCs w:val="22"/>
        </w:rPr>
      </w:pPr>
      <w:r w:rsidRPr="00FE5F9F">
        <w:rPr>
          <w:rFonts w:ascii="Verdana" w:hAnsi="Verdana"/>
          <w:sz w:val="22"/>
          <w:szCs w:val="22"/>
        </w:rPr>
        <w:t>I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>S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 xml:space="preserve"> EN 806 – 1</w:t>
      </w:r>
      <w:r w:rsidR="00D10A85" w:rsidRPr="00FE5F9F">
        <w:rPr>
          <w:rFonts w:ascii="Verdana" w:hAnsi="Verdana"/>
          <w:sz w:val="22"/>
          <w:szCs w:val="22"/>
        </w:rPr>
        <w:t>:2000 - Specifications for installations inside buildings conveying water for human consumption - Part 1: General</w:t>
      </w:r>
    </w:p>
    <w:p w:rsidR="00483F93" w:rsidRDefault="009C4B8A" w:rsidP="00593AEE">
      <w:pPr>
        <w:pStyle w:val="ListParagraph"/>
        <w:numPr>
          <w:ilvl w:val="0"/>
          <w:numId w:val="9"/>
        </w:numPr>
        <w:rPr>
          <w:rFonts w:ascii="Verdana" w:hAnsi="Verdana"/>
          <w:sz w:val="22"/>
          <w:szCs w:val="22"/>
        </w:rPr>
      </w:pPr>
      <w:r w:rsidRPr="00FE5F9F">
        <w:rPr>
          <w:rFonts w:ascii="Verdana" w:hAnsi="Verdana"/>
          <w:sz w:val="22"/>
          <w:szCs w:val="22"/>
        </w:rPr>
        <w:t>I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>S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 xml:space="preserve"> </w:t>
      </w:r>
      <w:r w:rsidR="00D10A85" w:rsidRPr="00FE5F9F">
        <w:rPr>
          <w:rFonts w:ascii="Verdana" w:hAnsi="Verdana"/>
          <w:sz w:val="22"/>
          <w:szCs w:val="22"/>
        </w:rPr>
        <w:t xml:space="preserve">EN 806 – 2:2005 - Specification for installations inside buildings conveying water for human consumption - Part 2: Design </w:t>
      </w:r>
    </w:p>
    <w:p w:rsidR="00D10A85" w:rsidRPr="00FE5F9F" w:rsidRDefault="009C4B8A" w:rsidP="00593AEE">
      <w:pPr>
        <w:pStyle w:val="ListParagraph"/>
        <w:numPr>
          <w:ilvl w:val="0"/>
          <w:numId w:val="9"/>
        </w:numPr>
        <w:rPr>
          <w:rFonts w:ascii="Verdana" w:hAnsi="Verdana"/>
          <w:sz w:val="22"/>
          <w:szCs w:val="22"/>
        </w:rPr>
      </w:pPr>
      <w:r w:rsidRPr="00FE5F9F">
        <w:rPr>
          <w:rFonts w:ascii="Verdana" w:hAnsi="Verdana"/>
          <w:sz w:val="22"/>
          <w:szCs w:val="22"/>
        </w:rPr>
        <w:t>I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>S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 xml:space="preserve"> </w:t>
      </w:r>
      <w:r w:rsidR="00D10A85" w:rsidRPr="00FE5F9F">
        <w:rPr>
          <w:rFonts w:ascii="Verdana" w:hAnsi="Verdana"/>
          <w:sz w:val="22"/>
          <w:szCs w:val="22"/>
        </w:rPr>
        <w:t xml:space="preserve">EN 806 – 3: 2006 - Specifications for installations inside buildings conveying water for human consumption - Part 3: Pipe sizing - Simplified method </w:t>
      </w:r>
    </w:p>
    <w:p w:rsidR="00D10A85" w:rsidRPr="00FE5F9F" w:rsidRDefault="009C4B8A" w:rsidP="00593AEE">
      <w:pPr>
        <w:pStyle w:val="ListParagraph"/>
        <w:numPr>
          <w:ilvl w:val="0"/>
          <w:numId w:val="9"/>
        </w:numPr>
        <w:rPr>
          <w:rFonts w:ascii="Verdana" w:hAnsi="Verdana"/>
          <w:i/>
          <w:iCs/>
          <w:sz w:val="22"/>
          <w:szCs w:val="22"/>
        </w:rPr>
      </w:pPr>
      <w:r w:rsidRPr="00FE5F9F">
        <w:rPr>
          <w:rFonts w:ascii="Verdana" w:hAnsi="Verdana"/>
          <w:sz w:val="22"/>
          <w:szCs w:val="22"/>
        </w:rPr>
        <w:t>I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>S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 xml:space="preserve"> </w:t>
      </w:r>
      <w:r w:rsidR="00D10A85" w:rsidRPr="00FE5F9F">
        <w:rPr>
          <w:rFonts w:ascii="Verdana" w:hAnsi="Verdana"/>
          <w:sz w:val="22"/>
          <w:szCs w:val="22"/>
        </w:rPr>
        <w:t xml:space="preserve">EN 806 – 4:2010 - Specifications for installations inside buildings conveying water for human consumption - Part 4: Installation </w:t>
      </w:r>
    </w:p>
    <w:p w:rsidR="007115F2" w:rsidRPr="00FE5F9F" w:rsidRDefault="009C4B8A" w:rsidP="00593AEE">
      <w:pPr>
        <w:pStyle w:val="ListParagraph"/>
        <w:numPr>
          <w:ilvl w:val="0"/>
          <w:numId w:val="9"/>
        </w:numPr>
        <w:rPr>
          <w:rFonts w:ascii="Verdana" w:hAnsi="Verdana"/>
          <w:i/>
          <w:iCs/>
          <w:sz w:val="22"/>
          <w:szCs w:val="22"/>
        </w:rPr>
      </w:pPr>
      <w:r w:rsidRPr="00FE5F9F">
        <w:rPr>
          <w:rFonts w:ascii="Verdana" w:hAnsi="Verdana"/>
          <w:sz w:val="22"/>
          <w:szCs w:val="22"/>
        </w:rPr>
        <w:t>I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>S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 xml:space="preserve"> </w:t>
      </w:r>
      <w:r w:rsidR="00D10A85" w:rsidRPr="00FE5F9F">
        <w:rPr>
          <w:rFonts w:ascii="Verdana" w:hAnsi="Verdana"/>
          <w:sz w:val="22"/>
          <w:szCs w:val="22"/>
        </w:rPr>
        <w:t>EN 806 – 5: 2012 -</w:t>
      </w:r>
      <w:r w:rsidR="00D10A85" w:rsidRPr="00FE5F9F">
        <w:rPr>
          <w:sz w:val="22"/>
          <w:szCs w:val="22"/>
        </w:rPr>
        <w:t xml:space="preserve"> </w:t>
      </w:r>
      <w:r w:rsidR="00D10A85" w:rsidRPr="00FE5F9F">
        <w:rPr>
          <w:rFonts w:ascii="Verdana" w:hAnsi="Verdana"/>
          <w:sz w:val="22"/>
          <w:szCs w:val="22"/>
        </w:rPr>
        <w:t>Specifications for installations inside buildings conveying water for human consumption - Part 5: Operation and maintenance</w:t>
      </w:r>
    </w:p>
    <w:p w:rsidR="00D10A85" w:rsidRPr="00593AEE" w:rsidRDefault="00D10A85" w:rsidP="00593AEE">
      <w:pPr>
        <w:pStyle w:val="ListParagraph"/>
        <w:ind w:left="525"/>
        <w:rPr>
          <w:rFonts w:ascii="Verdana" w:hAnsi="Verdana"/>
          <w:i/>
          <w:iCs/>
        </w:rPr>
      </w:pPr>
    </w:p>
    <w:p w:rsidR="00066F74" w:rsidRPr="00FE5F9F" w:rsidRDefault="00066F74" w:rsidP="00066F74">
      <w:pPr>
        <w:pStyle w:val="ListParagraph"/>
        <w:numPr>
          <w:ilvl w:val="0"/>
          <w:numId w:val="9"/>
        </w:numPr>
        <w:rPr>
          <w:rFonts w:ascii="Verdana" w:hAnsi="Verdana"/>
          <w:sz w:val="22"/>
          <w:szCs w:val="22"/>
        </w:rPr>
      </w:pPr>
      <w:r w:rsidRPr="00FE5F9F">
        <w:rPr>
          <w:rFonts w:ascii="Verdana" w:hAnsi="Verdana"/>
          <w:sz w:val="22"/>
          <w:szCs w:val="22"/>
        </w:rPr>
        <w:t>I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>S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 xml:space="preserve"> EN 12828: 2012+A1:2014 - Heating systems in buildings - Design for water-based heating systems</w:t>
      </w:r>
    </w:p>
    <w:p w:rsidR="007115F2" w:rsidRPr="00FE5F9F" w:rsidRDefault="007115F2" w:rsidP="00593AEE">
      <w:pPr>
        <w:pStyle w:val="ListParagraph"/>
        <w:ind w:left="525"/>
        <w:rPr>
          <w:rFonts w:ascii="Verdana" w:hAnsi="Verdana"/>
          <w:sz w:val="22"/>
          <w:szCs w:val="22"/>
        </w:rPr>
      </w:pPr>
    </w:p>
    <w:p w:rsidR="007115F2" w:rsidRPr="00FE5F9F" w:rsidRDefault="007115F2" w:rsidP="007115F2">
      <w:pPr>
        <w:pStyle w:val="ListParagraph"/>
        <w:numPr>
          <w:ilvl w:val="0"/>
          <w:numId w:val="9"/>
        </w:numPr>
        <w:rPr>
          <w:rFonts w:ascii="Verdana" w:hAnsi="Verdana"/>
          <w:sz w:val="22"/>
          <w:szCs w:val="22"/>
        </w:rPr>
      </w:pPr>
      <w:r w:rsidRPr="00FE5F9F">
        <w:rPr>
          <w:rFonts w:ascii="Verdana" w:hAnsi="Verdana"/>
          <w:sz w:val="22"/>
          <w:szCs w:val="22"/>
        </w:rPr>
        <w:t>I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>S</w:t>
      </w:r>
      <w:r w:rsidR="003A76F5">
        <w:rPr>
          <w:rFonts w:ascii="Verdana" w:hAnsi="Verdana"/>
          <w:sz w:val="22"/>
          <w:szCs w:val="22"/>
        </w:rPr>
        <w:t>.</w:t>
      </w:r>
      <w:r w:rsidRPr="00FE5F9F">
        <w:rPr>
          <w:rFonts w:ascii="Verdana" w:hAnsi="Verdana"/>
          <w:sz w:val="22"/>
          <w:szCs w:val="22"/>
        </w:rPr>
        <w:t xml:space="preserve"> EN 1717:2000+NA:2011 – Protection against pollution of potable water in water installations and general requirements of devices to prevent pollution by backflow</w:t>
      </w:r>
    </w:p>
    <w:p w:rsidR="00990D5C" w:rsidRDefault="00990D5C" w:rsidP="00990D5C">
      <w:pPr>
        <w:rPr>
          <w:rFonts w:ascii="Verdana" w:hAnsi="Verdana"/>
          <w:sz w:val="24"/>
          <w:szCs w:val="24"/>
        </w:rPr>
      </w:pPr>
    </w:p>
    <w:p w:rsidR="002318C5" w:rsidRPr="00990D5C" w:rsidRDefault="003A76F5" w:rsidP="002318C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I.S. </w:t>
      </w:r>
      <w:r w:rsidR="002318C5" w:rsidRPr="00990D5C">
        <w:rPr>
          <w:rFonts w:ascii="Verdana" w:hAnsi="Verdana"/>
          <w:sz w:val="24"/>
          <w:szCs w:val="24"/>
        </w:rPr>
        <w:t xml:space="preserve">EN 12828 and </w:t>
      </w:r>
      <w:r>
        <w:rPr>
          <w:rFonts w:ascii="Verdana" w:hAnsi="Verdana"/>
          <w:sz w:val="24"/>
          <w:szCs w:val="24"/>
        </w:rPr>
        <w:t xml:space="preserve">I.S. </w:t>
      </w:r>
      <w:r w:rsidR="002318C5" w:rsidRPr="00990D5C">
        <w:rPr>
          <w:rFonts w:ascii="Verdana" w:hAnsi="Verdana"/>
          <w:sz w:val="24"/>
          <w:szCs w:val="24"/>
        </w:rPr>
        <w:t xml:space="preserve">EN 806 (parts 1 to 5) on design of water and central heating systems implicitly recognise that drinking water supplies can become contaminated e.g. by backflow, and the standards specify methods for addressing these risks. </w:t>
      </w:r>
    </w:p>
    <w:p w:rsidR="004E3500" w:rsidRDefault="003A76F5" w:rsidP="00990D5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I.S. </w:t>
      </w:r>
      <w:r w:rsidR="004E3500">
        <w:rPr>
          <w:rFonts w:ascii="Verdana" w:hAnsi="Verdana"/>
          <w:sz w:val="24"/>
          <w:szCs w:val="24"/>
        </w:rPr>
        <w:t xml:space="preserve">EN 806-2 </w:t>
      </w:r>
      <w:r w:rsidR="002318C5">
        <w:rPr>
          <w:rFonts w:ascii="Verdana" w:hAnsi="Verdana"/>
          <w:sz w:val="24"/>
          <w:szCs w:val="24"/>
        </w:rPr>
        <w:t xml:space="preserve">recognises the existence of </w:t>
      </w:r>
      <w:r w:rsidR="004E3500">
        <w:rPr>
          <w:rFonts w:ascii="Verdana" w:hAnsi="Verdana"/>
          <w:sz w:val="24"/>
          <w:szCs w:val="24"/>
        </w:rPr>
        <w:t>national or local regulations and requirements</w:t>
      </w:r>
      <w:r w:rsidR="002318C5">
        <w:rPr>
          <w:rFonts w:ascii="Verdana" w:hAnsi="Verdana"/>
          <w:sz w:val="24"/>
          <w:szCs w:val="24"/>
        </w:rPr>
        <w:t xml:space="preserve"> </w:t>
      </w:r>
      <w:r w:rsidR="004E3500">
        <w:rPr>
          <w:rFonts w:ascii="Verdana" w:hAnsi="Verdana"/>
          <w:sz w:val="24"/>
          <w:szCs w:val="24"/>
        </w:rPr>
        <w:t xml:space="preserve">and the need to prevent the contamination of water. </w:t>
      </w:r>
    </w:p>
    <w:p w:rsidR="004623C0" w:rsidRDefault="00066F74" w:rsidP="0036485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National Annex (NA) to I</w:t>
      </w:r>
      <w:r w:rsidR="003A76F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S</w:t>
      </w:r>
      <w:r w:rsidR="003A76F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EN 1717 provides guidance regarding backflow prevention in Ireland</w:t>
      </w:r>
      <w:r w:rsidR="00C03EC6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taking account of</w:t>
      </w:r>
      <w:r w:rsidR="0036485C">
        <w:rPr>
          <w:rFonts w:ascii="Verdana" w:hAnsi="Verdana"/>
          <w:sz w:val="24"/>
          <w:szCs w:val="24"/>
        </w:rPr>
        <w:t xml:space="preserve"> the</w:t>
      </w:r>
      <w:r w:rsidR="0036485C" w:rsidRPr="0036485C">
        <w:rPr>
          <w:rFonts w:ascii="Verdana" w:hAnsi="Verdana"/>
          <w:sz w:val="24"/>
          <w:szCs w:val="24"/>
        </w:rPr>
        <w:t xml:space="preserve"> low pressure ventilated </w:t>
      </w:r>
      <w:r w:rsidR="0036485C">
        <w:rPr>
          <w:rFonts w:ascii="Verdana" w:hAnsi="Verdana"/>
          <w:sz w:val="24"/>
          <w:szCs w:val="24"/>
        </w:rPr>
        <w:t xml:space="preserve">mains water </w:t>
      </w:r>
      <w:r w:rsidR="0036485C" w:rsidRPr="0036485C">
        <w:rPr>
          <w:rFonts w:ascii="Verdana" w:hAnsi="Verdana"/>
          <w:sz w:val="24"/>
          <w:szCs w:val="24"/>
        </w:rPr>
        <w:t>system</w:t>
      </w:r>
      <w:r w:rsidR="00C03EC6">
        <w:rPr>
          <w:rFonts w:ascii="Verdana" w:hAnsi="Verdana"/>
          <w:sz w:val="24"/>
          <w:szCs w:val="24"/>
        </w:rPr>
        <w:t xml:space="preserve">. The guidance </w:t>
      </w:r>
      <w:r w:rsidR="000B4775">
        <w:rPr>
          <w:rFonts w:ascii="Verdana" w:hAnsi="Verdana"/>
          <w:sz w:val="24"/>
          <w:szCs w:val="24"/>
        </w:rPr>
        <w:t xml:space="preserve">notes </w:t>
      </w:r>
      <w:r w:rsidR="007115F2">
        <w:rPr>
          <w:rFonts w:ascii="Verdana" w:hAnsi="Verdana"/>
          <w:sz w:val="24"/>
          <w:szCs w:val="24"/>
        </w:rPr>
        <w:t xml:space="preserve">the </w:t>
      </w:r>
      <w:r w:rsidR="004623C0">
        <w:rPr>
          <w:rFonts w:ascii="Verdana" w:hAnsi="Verdana"/>
          <w:sz w:val="24"/>
          <w:szCs w:val="24"/>
        </w:rPr>
        <w:t xml:space="preserve">practice of having </w:t>
      </w:r>
      <w:r w:rsidR="0036485C">
        <w:rPr>
          <w:rFonts w:ascii="Verdana" w:hAnsi="Verdana"/>
          <w:sz w:val="24"/>
          <w:szCs w:val="24"/>
        </w:rPr>
        <w:t xml:space="preserve">an </w:t>
      </w:r>
      <w:r w:rsidR="0036485C" w:rsidRPr="0036485C">
        <w:rPr>
          <w:rFonts w:ascii="Verdana" w:hAnsi="Verdana"/>
          <w:sz w:val="24"/>
          <w:szCs w:val="24"/>
        </w:rPr>
        <w:t xml:space="preserve">unrestricted air gap, </w:t>
      </w:r>
      <w:r w:rsidR="0036485C">
        <w:rPr>
          <w:rFonts w:ascii="Verdana" w:hAnsi="Verdana"/>
          <w:sz w:val="24"/>
          <w:szCs w:val="24"/>
        </w:rPr>
        <w:t xml:space="preserve">to protect </w:t>
      </w:r>
      <w:r w:rsidR="000B4775">
        <w:rPr>
          <w:rFonts w:ascii="Verdana" w:hAnsi="Verdana"/>
          <w:sz w:val="24"/>
          <w:szCs w:val="24"/>
        </w:rPr>
        <w:t xml:space="preserve">the incoming water supply </w:t>
      </w:r>
      <w:r w:rsidR="0036485C">
        <w:rPr>
          <w:rFonts w:ascii="Verdana" w:hAnsi="Verdana"/>
          <w:sz w:val="24"/>
          <w:szCs w:val="24"/>
        </w:rPr>
        <w:t xml:space="preserve">against backflow, </w:t>
      </w:r>
      <w:r w:rsidR="0036485C" w:rsidRPr="0036485C">
        <w:rPr>
          <w:rFonts w:ascii="Verdana" w:hAnsi="Verdana"/>
          <w:sz w:val="24"/>
          <w:szCs w:val="24"/>
        </w:rPr>
        <w:t>unless otherwise ex</w:t>
      </w:r>
      <w:r w:rsidR="0036485C">
        <w:rPr>
          <w:rFonts w:ascii="Verdana" w:hAnsi="Verdana"/>
          <w:sz w:val="24"/>
          <w:szCs w:val="24"/>
        </w:rPr>
        <w:t xml:space="preserve">pressly permitted in writing by </w:t>
      </w:r>
      <w:r w:rsidR="0036485C" w:rsidRPr="0036485C">
        <w:rPr>
          <w:rFonts w:ascii="Verdana" w:hAnsi="Verdana"/>
          <w:sz w:val="24"/>
          <w:szCs w:val="24"/>
        </w:rPr>
        <w:t xml:space="preserve">the </w:t>
      </w:r>
      <w:r w:rsidR="0049171A">
        <w:rPr>
          <w:rFonts w:ascii="Verdana" w:hAnsi="Verdana"/>
          <w:sz w:val="24"/>
          <w:szCs w:val="24"/>
        </w:rPr>
        <w:t>appropriate responsible water authority</w:t>
      </w:r>
      <w:r w:rsidR="0036485C" w:rsidRPr="0036485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  <w:r w:rsidR="0049171A">
        <w:rPr>
          <w:rFonts w:ascii="Verdana" w:hAnsi="Verdana"/>
          <w:sz w:val="24"/>
          <w:szCs w:val="24"/>
        </w:rPr>
        <w:t>In other cases it recommends that a risk assessment be carried out in accordance with the standard.</w:t>
      </w:r>
    </w:p>
    <w:p w:rsidR="001F24C7" w:rsidRDefault="001F24C7">
      <w:pPr>
        <w:rPr>
          <w:rFonts w:ascii="Verdana" w:hAnsi="Verdana"/>
          <w:sz w:val="24"/>
          <w:szCs w:val="24"/>
        </w:rPr>
      </w:pPr>
    </w:p>
    <w:p w:rsidR="006E2E9A" w:rsidRPr="00593AEE" w:rsidRDefault="006E2E9A">
      <w:pPr>
        <w:rPr>
          <w:rFonts w:ascii="Verdana" w:hAnsi="Verdana"/>
          <w:b/>
          <w:sz w:val="24"/>
          <w:szCs w:val="24"/>
        </w:rPr>
      </w:pPr>
      <w:r w:rsidRPr="00593AEE">
        <w:rPr>
          <w:rFonts w:ascii="Verdana" w:hAnsi="Verdana"/>
          <w:b/>
          <w:sz w:val="24"/>
          <w:szCs w:val="24"/>
        </w:rPr>
        <w:t>National Work</w:t>
      </w:r>
    </w:p>
    <w:p w:rsidR="00D16CF6" w:rsidRDefault="006E2E9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</w:t>
      </w:r>
      <w:r w:rsidR="00EA4C34" w:rsidRPr="00AB1E0C">
        <w:rPr>
          <w:rFonts w:ascii="Verdana" w:hAnsi="Verdana"/>
          <w:sz w:val="24"/>
          <w:szCs w:val="24"/>
        </w:rPr>
        <w:t xml:space="preserve">n 2006 </w:t>
      </w:r>
      <w:r>
        <w:rPr>
          <w:rFonts w:ascii="Verdana" w:hAnsi="Verdana"/>
          <w:sz w:val="24"/>
          <w:szCs w:val="24"/>
        </w:rPr>
        <w:t xml:space="preserve">the </w:t>
      </w:r>
      <w:r w:rsidR="00EA4C34" w:rsidRPr="00AB1E0C">
        <w:rPr>
          <w:rFonts w:ascii="Verdana" w:hAnsi="Verdana"/>
          <w:sz w:val="24"/>
          <w:szCs w:val="24"/>
        </w:rPr>
        <w:t xml:space="preserve">need for </w:t>
      </w:r>
      <w:r>
        <w:rPr>
          <w:rFonts w:ascii="Verdana" w:hAnsi="Verdana"/>
          <w:sz w:val="24"/>
          <w:szCs w:val="24"/>
        </w:rPr>
        <w:t xml:space="preserve">an </w:t>
      </w:r>
      <w:r w:rsidR="00EA4C34" w:rsidRPr="00AB1E0C">
        <w:rPr>
          <w:rFonts w:ascii="Verdana" w:hAnsi="Verdana"/>
          <w:sz w:val="24"/>
          <w:szCs w:val="24"/>
        </w:rPr>
        <w:t>Irish C</w:t>
      </w:r>
      <w:r>
        <w:rPr>
          <w:rFonts w:ascii="Verdana" w:hAnsi="Verdana"/>
          <w:sz w:val="24"/>
          <w:szCs w:val="24"/>
        </w:rPr>
        <w:t xml:space="preserve">ode of Practice for plumbers was </w:t>
      </w:r>
      <w:r w:rsidR="00EA4C34" w:rsidRPr="00AB1E0C">
        <w:rPr>
          <w:rFonts w:ascii="Verdana" w:hAnsi="Verdana"/>
          <w:sz w:val="24"/>
          <w:szCs w:val="24"/>
        </w:rPr>
        <w:t xml:space="preserve">identified </w:t>
      </w:r>
      <w:r>
        <w:rPr>
          <w:rFonts w:ascii="Verdana" w:hAnsi="Verdana"/>
          <w:sz w:val="24"/>
          <w:szCs w:val="24"/>
        </w:rPr>
        <w:t>to complement th</w:t>
      </w:r>
      <w:r w:rsidR="00D16CF6">
        <w:rPr>
          <w:rFonts w:ascii="Verdana" w:hAnsi="Verdana"/>
          <w:sz w:val="24"/>
          <w:szCs w:val="24"/>
        </w:rPr>
        <w:t>e</w:t>
      </w:r>
      <w:r w:rsidR="00D10A85">
        <w:rPr>
          <w:rFonts w:ascii="Verdana" w:hAnsi="Verdana"/>
          <w:sz w:val="24"/>
          <w:szCs w:val="24"/>
        </w:rPr>
        <w:t xml:space="preserve"> then existing European </w:t>
      </w:r>
      <w:r w:rsidR="00D16CF6">
        <w:rPr>
          <w:rFonts w:ascii="Verdana" w:hAnsi="Verdana"/>
          <w:sz w:val="24"/>
          <w:szCs w:val="24"/>
        </w:rPr>
        <w:t>standards</w:t>
      </w:r>
      <w:r w:rsidR="005337F4">
        <w:rPr>
          <w:rFonts w:ascii="Verdana" w:hAnsi="Verdana"/>
          <w:sz w:val="24"/>
          <w:szCs w:val="24"/>
        </w:rPr>
        <w:t>, w</w:t>
      </w:r>
      <w:r w:rsidR="00C03EC6">
        <w:rPr>
          <w:rFonts w:ascii="Verdana" w:hAnsi="Verdana"/>
          <w:sz w:val="24"/>
          <w:szCs w:val="24"/>
        </w:rPr>
        <w:t xml:space="preserve">ith the </w:t>
      </w:r>
      <w:r w:rsidR="005337F4">
        <w:rPr>
          <w:rFonts w:ascii="Verdana" w:hAnsi="Verdana"/>
          <w:sz w:val="24"/>
          <w:szCs w:val="24"/>
        </w:rPr>
        <w:t>project beginning in earnest in 2008</w:t>
      </w:r>
      <w:r w:rsidR="00D16CF6">
        <w:rPr>
          <w:rFonts w:ascii="Verdana" w:hAnsi="Verdana"/>
          <w:sz w:val="24"/>
          <w:szCs w:val="24"/>
        </w:rPr>
        <w:t xml:space="preserve">.  This project was aimed at developing a best practice </w:t>
      </w:r>
      <w:r w:rsidR="00990D5C">
        <w:rPr>
          <w:rFonts w:ascii="Verdana" w:hAnsi="Verdana"/>
          <w:sz w:val="24"/>
          <w:szCs w:val="24"/>
        </w:rPr>
        <w:t xml:space="preserve">guide for use </w:t>
      </w:r>
      <w:r w:rsidR="00D16CF6">
        <w:rPr>
          <w:rFonts w:ascii="Verdana" w:hAnsi="Verdana"/>
          <w:sz w:val="24"/>
          <w:szCs w:val="24"/>
        </w:rPr>
        <w:t xml:space="preserve">by the trade </w:t>
      </w:r>
      <w:r w:rsidR="00990D5C">
        <w:rPr>
          <w:rFonts w:ascii="Verdana" w:hAnsi="Verdana"/>
          <w:sz w:val="24"/>
          <w:szCs w:val="24"/>
        </w:rPr>
        <w:t>by</w:t>
      </w:r>
      <w:r w:rsidR="00D16CF6">
        <w:rPr>
          <w:rFonts w:ascii="Verdana" w:hAnsi="Verdana"/>
          <w:sz w:val="24"/>
          <w:szCs w:val="24"/>
        </w:rPr>
        <w:t xml:space="preserve"> drawing together the </w:t>
      </w:r>
      <w:r w:rsidR="00D10A85">
        <w:rPr>
          <w:rFonts w:ascii="Verdana" w:hAnsi="Verdana"/>
          <w:sz w:val="24"/>
          <w:szCs w:val="24"/>
        </w:rPr>
        <w:t xml:space="preserve">references to relevant </w:t>
      </w:r>
      <w:r w:rsidR="00D16CF6">
        <w:rPr>
          <w:rFonts w:ascii="Verdana" w:hAnsi="Verdana"/>
          <w:sz w:val="24"/>
          <w:szCs w:val="24"/>
        </w:rPr>
        <w:t>standards with useful explanations in an easily readable form.</w:t>
      </w:r>
    </w:p>
    <w:p w:rsidR="00EA4C34" w:rsidRPr="00AB1E0C" w:rsidRDefault="00D16CF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 project was </w:t>
      </w:r>
      <w:r w:rsidR="006E2E9A">
        <w:rPr>
          <w:rFonts w:ascii="Verdana" w:hAnsi="Verdana"/>
          <w:sz w:val="24"/>
          <w:szCs w:val="24"/>
        </w:rPr>
        <w:t xml:space="preserve">supported </w:t>
      </w:r>
      <w:r w:rsidR="00990D5C">
        <w:rPr>
          <w:rFonts w:ascii="Verdana" w:hAnsi="Verdana"/>
          <w:sz w:val="24"/>
          <w:szCs w:val="24"/>
        </w:rPr>
        <w:t xml:space="preserve">by </w:t>
      </w:r>
      <w:r w:rsidR="00DB66A0">
        <w:rPr>
          <w:rFonts w:ascii="Verdana" w:hAnsi="Verdana"/>
          <w:sz w:val="24"/>
          <w:szCs w:val="24"/>
        </w:rPr>
        <w:t>key stakeholders the Dept. of Environment Communications and Local Government and the Sustainable Energy Authority of Ireland (S</w:t>
      </w:r>
      <w:r>
        <w:rPr>
          <w:rFonts w:ascii="Verdana" w:hAnsi="Verdana"/>
          <w:sz w:val="24"/>
          <w:szCs w:val="24"/>
        </w:rPr>
        <w:t>EAI</w:t>
      </w:r>
      <w:r w:rsidR="00DB66A0">
        <w:rPr>
          <w:rFonts w:ascii="Verdana" w:hAnsi="Verdana"/>
          <w:sz w:val="24"/>
          <w:szCs w:val="24"/>
        </w:rPr>
        <w:t>)</w:t>
      </w:r>
      <w:r>
        <w:rPr>
          <w:rFonts w:ascii="Verdana" w:hAnsi="Verdana"/>
          <w:sz w:val="24"/>
          <w:szCs w:val="24"/>
        </w:rPr>
        <w:t xml:space="preserve"> committed to fund the necessary work.</w:t>
      </w:r>
      <w:r w:rsidR="00EA4C34" w:rsidRPr="00AB1E0C">
        <w:rPr>
          <w:rFonts w:ascii="Verdana" w:hAnsi="Verdana"/>
          <w:sz w:val="24"/>
          <w:szCs w:val="24"/>
        </w:rPr>
        <w:t xml:space="preserve"> </w:t>
      </w:r>
    </w:p>
    <w:p w:rsidR="00F5637B" w:rsidRPr="001800BA" w:rsidRDefault="006E2E9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 first draft Code of Practice was published in </w:t>
      </w:r>
      <w:r w:rsidR="00F5637B" w:rsidRPr="009938BA">
        <w:rPr>
          <w:rFonts w:ascii="Verdana" w:hAnsi="Verdana"/>
          <w:sz w:val="24"/>
          <w:szCs w:val="24"/>
        </w:rPr>
        <w:t>20</w:t>
      </w:r>
      <w:r w:rsidR="00D6710E" w:rsidRPr="009938BA">
        <w:rPr>
          <w:rFonts w:ascii="Verdana" w:hAnsi="Verdana"/>
          <w:sz w:val="24"/>
          <w:szCs w:val="24"/>
        </w:rPr>
        <w:t xml:space="preserve">10 </w:t>
      </w:r>
      <w:r w:rsidR="00EA4C34">
        <w:rPr>
          <w:rFonts w:ascii="Verdana" w:hAnsi="Verdana"/>
          <w:sz w:val="24"/>
          <w:szCs w:val="24"/>
        </w:rPr>
        <w:t>for public comment</w:t>
      </w:r>
      <w:r>
        <w:rPr>
          <w:rFonts w:ascii="Verdana" w:hAnsi="Verdana"/>
          <w:sz w:val="24"/>
          <w:szCs w:val="24"/>
        </w:rPr>
        <w:t xml:space="preserve">.  This consultation was met </w:t>
      </w:r>
      <w:r w:rsidR="00D6710E" w:rsidRPr="001800BA">
        <w:rPr>
          <w:rFonts w:ascii="Verdana" w:hAnsi="Verdana"/>
          <w:sz w:val="24"/>
          <w:szCs w:val="24"/>
        </w:rPr>
        <w:t>with great</w:t>
      </w:r>
      <w:r w:rsidR="00017E02" w:rsidRPr="001800BA">
        <w:rPr>
          <w:rFonts w:ascii="Verdana" w:hAnsi="Verdana"/>
          <w:sz w:val="24"/>
          <w:szCs w:val="24"/>
        </w:rPr>
        <w:t xml:space="preserve"> interest resulting in over 200 </w:t>
      </w:r>
      <w:r w:rsidR="00DB66A0">
        <w:rPr>
          <w:rFonts w:ascii="Verdana" w:hAnsi="Verdana"/>
          <w:sz w:val="24"/>
          <w:szCs w:val="24"/>
        </w:rPr>
        <w:t>observations</w:t>
      </w:r>
      <w:r w:rsidR="00DB66A0" w:rsidRPr="001800BA">
        <w:rPr>
          <w:rFonts w:ascii="Verdana" w:hAnsi="Verdana"/>
          <w:sz w:val="24"/>
          <w:szCs w:val="24"/>
        </w:rPr>
        <w:t xml:space="preserve"> </w:t>
      </w:r>
      <w:r w:rsidR="0094646D" w:rsidRPr="001800BA">
        <w:rPr>
          <w:rFonts w:ascii="Verdana" w:hAnsi="Verdana"/>
          <w:sz w:val="24"/>
          <w:szCs w:val="24"/>
        </w:rPr>
        <w:t>being submitted to NSAI</w:t>
      </w:r>
      <w:r w:rsidR="00017E02" w:rsidRPr="001800BA">
        <w:rPr>
          <w:rFonts w:ascii="Verdana" w:hAnsi="Verdana"/>
          <w:sz w:val="24"/>
          <w:szCs w:val="24"/>
        </w:rPr>
        <w:t>.</w:t>
      </w:r>
    </w:p>
    <w:p w:rsidR="007B3C35" w:rsidRDefault="007B3C35" w:rsidP="007B3C35">
      <w:pPr>
        <w:rPr>
          <w:rFonts w:ascii="Verdana" w:hAnsi="Verdana"/>
          <w:b/>
          <w:sz w:val="24"/>
          <w:szCs w:val="24"/>
        </w:rPr>
      </w:pPr>
    </w:p>
    <w:p w:rsidR="007B3C35" w:rsidRDefault="007B3C35" w:rsidP="007B3C35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2010 Draft and Backflow requirements</w:t>
      </w:r>
    </w:p>
    <w:p w:rsidR="007B3C35" w:rsidRDefault="007B3C35" w:rsidP="007B3C3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public enquiry draft (2010), took account of relevant local authority Bye Laws available at that time. Those local authorities</w:t>
      </w:r>
      <w:r w:rsidR="00220F32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</w:t>
      </w:r>
      <w:r w:rsidR="0049171A">
        <w:rPr>
          <w:rFonts w:ascii="Verdana" w:hAnsi="Verdana"/>
          <w:sz w:val="24"/>
          <w:szCs w:val="24"/>
        </w:rPr>
        <w:t>i</w:t>
      </w:r>
      <w:r w:rsidR="00220F32">
        <w:rPr>
          <w:rFonts w:ascii="Verdana" w:hAnsi="Verdana"/>
          <w:sz w:val="24"/>
          <w:szCs w:val="24"/>
        </w:rPr>
        <w:t>n general,</w:t>
      </w:r>
      <w:r>
        <w:rPr>
          <w:rFonts w:ascii="Verdana" w:hAnsi="Verdana"/>
          <w:sz w:val="24"/>
          <w:szCs w:val="24"/>
        </w:rPr>
        <w:t xml:space="preserve"> required that water systems contain an adequate device or devices to prevent the occurrence of backflow. </w:t>
      </w:r>
    </w:p>
    <w:p w:rsidR="007B3C35" w:rsidRDefault="007B3C35" w:rsidP="007B3C3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draft Code of Practice drew together these requirements as best practice.</w:t>
      </w:r>
    </w:p>
    <w:p w:rsidR="007B3C35" w:rsidRDefault="007B3C35" w:rsidP="007B3C35">
      <w:pPr>
        <w:rPr>
          <w:rFonts w:ascii="Verdana" w:hAnsi="Verdana"/>
          <w:b/>
          <w:sz w:val="24"/>
          <w:szCs w:val="24"/>
        </w:rPr>
      </w:pPr>
    </w:p>
    <w:p w:rsidR="007B3C35" w:rsidRPr="004C06EF" w:rsidRDefault="007B3C35" w:rsidP="007B3C35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Review and progress</w:t>
      </w:r>
    </w:p>
    <w:p w:rsidR="00EA4C34" w:rsidRDefault="00D16CF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Following </w:t>
      </w:r>
      <w:r w:rsidR="007B3C35">
        <w:rPr>
          <w:rFonts w:ascii="Verdana" w:hAnsi="Verdana"/>
          <w:sz w:val="24"/>
          <w:szCs w:val="24"/>
        </w:rPr>
        <w:t xml:space="preserve">the 2010 public enquiry and further </w:t>
      </w:r>
      <w:r>
        <w:rPr>
          <w:rFonts w:ascii="Verdana" w:hAnsi="Verdana"/>
          <w:sz w:val="24"/>
          <w:szCs w:val="24"/>
        </w:rPr>
        <w:t xml:space="preserve">consideration it was decided to </w:t>
      </w:r>
      <w:r w:rsidR="00EA4C34">
        <w:rPr>
          <w:rFonts w:ascii="Verdana" w:hAnsi="Verdana"/>
          <w:sz w:val="24"/>
          <w:szCs w:val="24"/>
        </w:rPr>
        <w:t xml:space="preserve">split the document into </w:t>
      </w:r>
      <w:r w:rsidR="00D721CB">
        <w:rPr>
          <w:rFonts w:ascii="Verdana" w:hAnsi="Verdana"/>
          <w:sz w:val="24"/>
          <w:szCs w:val="24"/>
        </w:rPr>
        <w:t>two</w:t>
      </w:r>
      <w:r w:rsidR="00EA4C34">
        <w:rPr>
          <w:rFonts w:ascii="Verdana" w:hAnsi="Verdana"/>
          <w:sz w:val="24"/>
          <w:szCs w:val="24"/>
        </w:rPr>
        <w:t xml:space="preserve"> parts</w:t>
      </w:r>
      <w:r w:rsidR="00390E7A">
        <w:rPr>
          <w:rFonts w:ascii="Verdana" w:hAnsi="Verdana"/>
          <w:sz w:val="24"/>
          <w:szCs w:val="24"/>
        </w:rPr>
        <w:t xml:space="preserve"> to</w:t>
      </w:r>
      <w:r w:rsidR="00EA4C34">
        <w:rPr>
          <w:rFonts w:ascii="Verdana" w:hAnsi="Verdana"/>
          <w:sz w:val="24"/>
          <w:szCs w:val="24"/>
        </w:rPr>
        <w:t xml:space="preserve"> enable work to proceed more efficiently.</w:t>
      </w:r>
      <w:r w:rsidR="00590519">
        <w:rPr>
          <w:rFonts w:ascii="Verdana" w:hAnsi="Verdana"/>
          <w:sz w:val="24"/>
          <w:szCs w:val="24"/>
        </w:rPr>
        <w:t xml:space="preserve"> The</w:t>
      </w:r>
      <w:r w:rsidR="00D721CB">
        <w:rPr>
          <w:rFonts w:ascii="Verdana" w:hAnsi="Verdana"/>
          <w:sz w:val="24"/>
          <w:szCs w:val="24"/>
        </w:rPr>
        <w:t>se</w:t>
      </w:r>
      <w:r w:rsidR="00590519">
        <w:rPr>
          <w:rFonts w:ascii="Verdana" w:hAnsi="Verdana"/>
          <w:sz w:val="24"/>
          <w:szCs w:val="24"/>
        </w:rPr>
        <w:t xml:space="preserve"> two parts</w:t>
      </w:r>
      <w:r w:rsidR="00C87A0D">
        <w:rPr>
          <w:rFonts w:ascii="Verdana" w:hAnsi="Verdana"/>
          <w:sz w:val="24"/>
          <w:szCs w:val="24"/>
        </w:rPr>
        <w:t>, as previously identified,</w:t>
      </w:r>
      <w:r w:rsidR="00590519">
        <w:rPr>
          <w:rFonts w:ascii="Verdana" w:hAnsi="Verdana"/>
          <w:sz w:val="24"/>
          <w:szCs w:val="24"/>
        </w:rPr>
        <w:t xml:space="preserve"> </w:t>
      </w:r>
      <w:r w:rsidR="00D10A85">
        <w:rPr>
          <w:rFonts w:ascii="Verdana" w:hAnsi="Verdana"/>
          <w:sz w:val="24"/>
          <w:szCs w:val="24"/>
        </w:rPr>
        <w:t>are titled</w:t>
      </w:r>
      <w:r w:rsidR="00EA4C34">
        <w:rPr>
          <w:rFonts w:ascii="Verdana" w:hAnsi="Verdana"/>
          <w:sz w:val="24"/>
          <w:szCs w:val="24"/>
        </w:rPr>
        <w:t xml:space="preserve"> </w:t>
      </w:r>
      <w:r w:rsidR="00590519" w:rsidRPr="009938BA">
        <w:rPr>
          <w:rFonts w:ascii="Verdana" w:hAnsi="Verdana"/>
          <w:sz w:val="24"/>
          <w:szCs w:val="24"/>
        </w:rPr>
        <w:t xml:space="preserve">SR 50-1 </w:t>
      </w:r>
      <w:r w:rsidR="00590519" w:rsidRPr="009938BA">
        <w:rPr>
          <w:rFonts w:ascii="Verdana" w:hAnsi="Verdana"/>
          <w:sz w:val="24"/>
          <w:szCs w:val="24"/>
        </w:rPr>
        <w:lastRenderedPageBreak/>
        <w:t>relating to Domestic</w:t>
      </w:r>
      <w:r w:rsidR="00590519" w:rsidRPr="001800BA">
        <w:rPr>
          <w:rFonts w:ascii="Verdana" w:hAnsi="Verdana"/>
          <w:sz w:val="24"/>
          <w:szCs w:val="24"/>
        </w:rPr>
        <w:t xml:space="preserve"> Hot Water and Heating, and SR 50-</w:t>
      </w:r>
      <w:r w:rsidR="00590519">
        <w:rPr>
          <w:rFonts w:ascii="Verdana" w:hAnsi="Verdana"/>
          <w:sz w:val="24"/>
          <w:szCs w:val="24"/>
        </w:rPr>
        <w:t>3</w:t>
      </w:r>
      <w:r w:rsidR="00590519" w:rsidRPr="001800BA">
        <w:rPr>
          <w:rFonts w:ascii="Verdana" w:hAnsi="Verdana"/>
          <w:sz w:val="24"/>
          <w:szCs w:val="24"/>
        </w:rPr>
        <w:t xml:space="preserve"> relating to Domestic Plumbing for Cold Water Systems.  </w:t>
      </w:r>
    </w:p>
    <w:p w:rsidR="00483F93" w:rsidRDefault="00DB66A0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Du</w:t>
      </w:r>
      <w:r w:rsidR="00EA4C34" w:rsidRPr="00593AEE">
        <w:rPr>
          <w:rFonts w:ascii="Verdana" w:hAnsi="Verdana"/>
          <w:sz w:val="24"/>
          <w:szCs w:val="24"/>
        </w:rPr>
        <w:t xml:space="preserve">e to prioritisation of other critical projects and availability of key stakeholder input, </w:t>
      </w:r>
      <w:r w:rsidR="00C92306" w:rsidRPr="00593AEE">
        <w:rPr>
          <w:rFonts w:ascii="Verdana" w:hAnsi="Verdana"/>
          <w:sz w:val="24"/>
          <w:szCs w:val="24"/>
        </w:rPr>
        <w:t xml:space="preserve">work </w:t>
      </w:r>
      <w:r>
        <w:rPr>
          <w:rFonts w:ascii="Verdana" w:hAnsi="Verdana"/>
          <w:sz w:val="24"/>
          <w:szCs w:val="24"/>
        </w:rPr>
        <w:t xml:space="preserve">on the project </w:t>
      </w:r>
      <w:r w:rsidR="00590519" w:rsidRPr="00593AEE">
        <w:rPr>
          <w:rFonts w:ascii="Verdana" w:hAnsi="Verdana"/>
          <w:sz w:val="24"/>
          <w:szCs w:val="24"/>
        </w:rPr>
        <w:t xml:space="preserve">was put on hold until being </w:t>
      </w:r>
      <w:r w:rsidR="00C92306" w:rsidRPr="00593AEE">
        <w:rPr>
          <w:rFonts w:ascii="Verdana" w:hAnsi="Verdana"/>
          <w:sz w:val="24"/>
          <w:szCs w:val="24"/>
        </w:rPr>
        <w:t>reactivated</w:t>
      </w:r>
      <w:r w:rsidR="00590519" w:rsidRPr="00593AEE">
        <w:rPr>
          <w:rFonts w:ascii="Verdana" w:hAnsi="Verdana"/>
          <w:sz w:val="24"/>
          <w:szCs w:val="24"/>
        </w:rPr>
        <w:t xml:space="preserve"> </w:t>
      </w:r>
      <w:r w:rsidR="00D10A85" w:rsidRPr="00593AEE">
        <w:rPr>
          <w:rFonts w:ascii="Verdana" w:hAnsi="Verdana"/>
          <w:sz w:val="24"/>
          <w:szCs w:val="24"/>
        </w:rPr>
        <w:t>earlier this year</w:t>
      </w:r>
      <w:r w:rsidR="00590519" w:rsidRPr="00593AEE">
        <w:rPr>
          <w:rFonts w:ascii="Verdana" w:hAnsi="Verdana"/>
          <w:sz w:val="24"/>
          <w:szCs w:val="24"/>
        </w:rPr>
        <w:t xml:space="preserve">. </w:t>
      </w:r>
      <w:r w:rsidR="00D10A85" w:rsidRPr="00593AEE">
        <w:rPr>
          <w:rFonts w:ascii="Verdana" w:hAnsi="Verdana"/>
          <w:sz w:val="24"/>
          <w:szCs w:val="24"/>
        </w:rPr>
        <w:t xml:space="preserve"> </w:t>
      </w:r>
    </w:p>
    <w:p w:rsidR="00590519" w:rsidRDefault="00D721CB">
      <w:pPr>
        <w:rPr>
          <w:rFonts w:ascii="Verdana" w:hAnsi="Verdana"/>
          <w:sz w:val="24"/>
          <w:szCs w:val="24"/>
        </w:rPr>
      </w:pPr>
      <w:r w:rsidRPr="00593AEE">
        <w:rPr>
          <w:rFonts w:ascii="Verdana" w:hAnsi="Verdana"/>
          <w:sz w:val="24"/>
          <w:szCs w:val="24"/>
        </w:rPr>
        <w:t xml:space="preserve">The most recent review </w:t>
      </w:r>
      <w:r w:rsidR="00723FF9">
        <w:rPr>
          <w:rFonts w:ascii="Verdana" w:hAnsi="Verdana"/>
          <w:sz w:val="24"/>
          <w:szCs w:val="24"/>
        </w:rPr>
        <w:t xml:space="preserve">has identified </w:t>
      </w:r>
      <w:r w:rsidR="00DB66A0">
        <w:rPr>
          <w:rFonts w:ascii="Verdana" w:hAnsi="Verdana"/>
          <w:sz w:val="24"/>
          <w:szCs w:val="24"/>
        </w:rPr>
        <w:t xml:space="preserve">a </w:t>
      </w:r>
      <w:r w:rsidR="00723FF9">
        <w:rPr>
          <w:rFonts w:ascii="Verdana" w:hAnsi="Verdana"/>
          <w:sz w:val="24"/>
          <w:szCs w:val="24"/>
        </w:rPr>
        <w:t>need for</w:t>
      </w:r>
      <w:r w:rsidR="00DB66A0">
        <w:rPr>
          <w:rFonts w:ascii="Verdana" w:hAnsi="Verdana"/>
          <w:sz w:val="24"/>
          <w:szCs w:val="24"/>
        </w:rPr>
        <w:t xml:space="preserve"> further </w:t>
      </w:r>
      <w:r w:rsidR="00390E7A">
        <w:rPr>
          <w:rFonts w:ascii="Verdana" w:hAnsi="Verdana"/>
          <w:sz w:val="24"/>
          <w:szCs w:val="24"/>
        </w:rPr>
        <w:t>work</w:t>
      </w:r>
      <w:r w:rsidR="00DB66A0">
        <w:rPr>
          <w:rFonts w:ascii="Verdana" w:hAnsi="Verdana"/>
          <w:sz w:val="24"/>
          <w:szCs w:val="24"/>
        </w:rPr>
        <w:t xml:space="preserve"> to </w:t>
      </w:r>
      <w:r w:rsidR="00590519">
        <w:rPr>
          <w:rFonts w:ascii="Verdana" w:hAnsi="Verdana"/>
          <w:sz w:val="24"/>
          <w:szCs w:val="24"/>
        </w:rPr>
        <w:t>address technical developments</w:t>
      </w:r>
      <w:r w:rsidR="00FC4CDB">
        <w:rPr>
          <w:rFonts w:ascii="Verdana" w:hAnsi="Verdana"/>
          <w:sz w:val="24"/>
          <w:szCs w:val="24"/>
        </w:rPr>
        <w:t xml:space="preserve">, changes in building practices, </w:t>
      </w:r>
      <w:r w:rsidR="00DB66A0">
        <w:rPr>
          <w:rFonts w:ascii="Verdana" w:hAnsi="Verdana"/>
          <w:sz w:val="24"/>
          <w:szCs w:val="24"/>
        </w:rPr>
        <w:t xml:space="preserve">availability of updated European standards and related matters </w:t>
      </w:r>
      <w:r w:rsidR="00FC4CDB">
        <w:rPr>
          <w:rFonts w:ascii="Verdana" w:hAnsi="Verdana"/>
          <w:sz w:val="24"/>
          <w:szCs w:val="24"/>
        </w:rPr>
        <w:t xml:space="preserve">raised by harmonised standards under </w:t>
      </w:r>
      <w:r w:rsidR="00DB66A0">
        <w:rPr>
          <w:rFonts w:ascii="Verdana" w:hAnsi="Verdana"/>
          <w:sz w:val="24"/>
          <w:szCs w:val="24"/>
        </w:rPr>
        <w:t>the EU C</w:t>
      </w:r>
      <w:r w:rsidR="00FC4CDB">
        <w:rPr>
          <w:rFonts w:ascii="Verdana" w:hAnsi="Verdana"/>
          <w:sz w:val="24"/>
          <w:szCs w:val="24"/>
        </w:rPr>
        <w:t xml:space="preserve">onstruction </w:t>
      </w:r>
      <w:r w:rsidR="00DB66A0">
        <w:rPr>
          <w:rFonts w:ascii="Verdana" w:hAnsi="Verdana"/>
          <w:sz w:val="24"/>
          <w:szCs w:val="24"/>
        </w:rPr>
        <w:t>Pr</w:t>
      </w:r>
      <w:r w:rsidR="00FC4CDB">
        <w:rPr>
          <w:rFonts w:ascii="Verdana" w:hAnsi="Verdana"/>
          <w:sz w:val="24"/>
          <w:szCs w:val="24"/>
        </w:rPr>
        <w:t xml:space="preserve">oducts </w:t>
      </w:r>
      <w:r w:rsidR="00DB66A0">
        <w:rPr>
          <w:rFonts w:ascii="Verdana" w:hAnsi="Verdana"/>
          <w:sz w:val="24"/>
          <w:szCs w:val="24"/>
        </w:rPr>
        <w:t>R</w:t>
      </w:r>
      <w:r w:rsidR="00FC4CDB">
        <w:rPr>
          <w:rFonts w:ascii="Verdana" w:hAnsi="Verdana"/>
          <w:sz w:val="24"/>
          <w:szCs w:val="24"/>
        </w:rPr>
        <w:t>egulation</w:t>
      </w:r>
      <w:r w:rsidR="00390E7A">
        <w:rPr>
          <w:rFonts w:ascii="Verdana" w:hAnsi="Verdana"/>
          <w:sz w:val="24"/>
          <w:szCs w:val="24"/>
        </w:rPr>
        <w:t>.</w:t>
      </w:r>
      <w:r w:rsidR="00DB66A0">
        <w:rPr>
          <w:rFonts w:ascii="Verdana" w:hAnsi="Verdana"/>
          <w:sz w:val="24"/>
          <w:szCs w:val="24"/>
        </w:rPr>
        <w:t xml:space="preserve">  Irish Water, which was established in the interim, is also now engaged as a key stakeholder.</w:t>
      </w:r>
      <w:r w:rsidR="00FC4CDB">
        <w:rPr>
          <w:rFonts w:ascii="Verdana" w:hAnsi="Verdana"/>
          <w:sz w:val="24"/>
          <w:szCs w:val="24"/>
        </w:rPr>
        <w:t xml:space="preserve">  </w:t>
      </w:r>
    </w:p>
    <w:p w:rsidR="005337F4" w:rsidRDefault="005337F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project</w:t>
      </w:r>
      <w:r w:rsidR="007B3C35">
        <w:rPr>
          <w:rFonts w:ascii="Verdana" w:hAnsi="Verdana"/>
          <w:sz w:val="24"/>
          <w:szCs w:val="24"/>
        </w:rPr>
        <w:t xml:space="preserve">s are </w:t>
      </w:r>
      <w:r>
        <w:rPr>
          <w:rFonts w:ascii="Verdana" w:hAnsi="Verdana"/>
          <w:sz w:val="24"/>
          <w:szCs w:val="24"/>
        </w:rPr>
        <w:t>progressing well</w:t>
      </w:r>
      <w:r w:rsidR="008D2155">
        <w:rPr>
          <w:rFonts w:ascii="Verdana" w:hAnsi="Verdana"/>
          <w:sz w:val="24"/>
          <w:szCs w:val="24"/>
        </w:rPr>
        <w:t xml:space="preserve"> and it is </w:t>
      </w:r>
      <w:r w:rsidR="007B3C35">
        <w:rPr>
          <w:rFonts w:ascii="Verdana" w:hAnsi="Verdana"/>
          <w:sz w:val="24"/>
          <w:szCs w:val="24"/>
        </w:rPr>
        <w:t xml:space="preserve">expected that drafts of both documents will be </w:t>
      </w:r>
      <w:r>
        <w:rPr>
          <w:rFonts w:ascii="Verdana" w:hAnsi="Verdana"/>
          <w:sz w:val="24"/>
          <w:szCs w:val="24"/>
        </w:rPr>
        <w:t>issue</w:t>
      </w:r>
      <w:r w:rsidR="007B3C35">
        <w:rPr>
          <w:rFonts w:ascii="Verdana" w:hAnsi="Verdana"/>
          <w:sz w:val="24"/>
          <w:szCs w:val="24"/>
        </w:rPr>
        <w:t xml:space="preserve">d for </w:t>
      </w:r>
      <w:r>
        <w:rPr>
          <w:rFonts w:ascii="Verdana" w:hAnsi="Verdana"/>
          <w:sz w:val="24"/>
          <w:szCs w:val="24"/>
        </w:rPr>
        <w:t xml:space="preserve">public enquiry </w:t>
      </w:r>
      <w:r w:rsidR="007B3C35">
        <w:rPr>
          <w:rFonts w:ascii="Verdana" w:hAnsi="Verdana"/>
          <w:sz w:val="24"/>
          <w:szCs w:val="24"/>
        </w:rPr>
        <w:t>during</w:t>
      </w:r>
      <w:r>
        <w:rPr>
          <w:rFonts w:ascii="Verdana" w:hAnsi="Verdana"/>
          <w:sz w:val="24"/>
          <w:szCs w:val="24"/>
        </w:rPr>
        <w:t xml:space="preserve"> 2016</w:t>
      </w:r>
      <w:r w:rsidR="004623C0">
        <w:rPr>
          <w:rFonts w:ascii="Verdana" w:hAnsi="Verdana"/>
          <w:sz w:val="24"/>
          <w:szCs w:val="24"/>
        </w:rPr>
        <w:t xml:space="preserve">. </w:t>
      </w:r>
    </w:p>
    <w:p w:rsidR="008A2BC9" w:rsidRDefault="008A2BC9">
      <w:pPr>
        <w:rPr>
          <w:rFonts w:ascii="Verdana" w:hAnsi="Verdana"/>
          <w:b/>
          <w:sz w:val="24"/>
          <w:szCs w:val="24"/>
        </w:rPr>
      </w:pPr>
    </w:p>
    <w:p w:rsidR="003D4BFC" w:rsidRDefault="00390E7A">
      <w:pPr>
        <w:rPr>
          <w:rFonts w:ascii="Verdana" w:hAnsi="Verdana"/>
          <w:sz w:val="24"/>
          <w:szCs w:val="24"/>
        </w:rPr>
      </w:pPr>
      <w:r w:rsidRPr="00F96709">
        <w:rPr>
          <w:rFonts w:ascii="Verdana" w:hAnsi="Verdana"/>
          <w:b/>
          <w:sz w:val="24"/>
          <w:szCs w:val="24"/>
        </w:rPr>
        <w:t xml:space="preserve">Implementation </w:t>
      </w:r>
    </w:p>
    <w:p w:rsidR="00DA0FCA" w:rsidRDefault="00DA0FC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As previously stated s</w:t>
      </w:r>
      <w:r w:rsidR="00390E7A">
        <w:rPr>
          <w:rFonts w:ascii="Verdana" w:hAnsi="Verdana"/>
          <w:sz w:val="24"/>
          <w:szCs w:val="24"/>
        </w:rPr>
        <w:t>tandards are voluntary documents</w:t>
      </w:r>
      <w:r>
        <w:rPr>
          <w:rFonts w:ascii="Verdana" w:hAnsi="Verdana"/>
          <w:sz w:val="24"/>
          <w:szCs w:val="24"/>
        </w:rPr>
        <w:t xml:space="preserve"> unless referenced as mandatory or as conferring a presumption of compliance through legislation</w:t>
      </w:r>
      <w:r w:rsidR="00390E7A">
        <w:rPr>
          <w:rFonts w:ascii="Verdana" w:hAnsi="Verdana"/>
          <w:sz w:val="24"/>
          <w:szCs w:val="24"/>
        </w:rPr>
        <w:t xml:space="preserve">. </w:t>
      </w:r>
    </w:p>
    <w:p w:rsidR="00CA63A6" w:rsidRDefault="007A3ED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When </w:t>
      </w:r>
      <w:r w:rsidR="003C7547">
        <w:rPr>
          <w:rFonts w:ascii="Verdana" w:hAnsi="Verdana"/>
          <w:sz w:val="24"/>
          <w:szCs w:val="24"/>
        </w:rPr>
        <w:t>the</w:t>
      </w:r>
      <w:r w:rsidR="003D4BFC">
        <w:rPr>
          <w:rFonts w:ascii="Verdana" w:hAnsi="Verdana"/>
          <w:sz w:val="24"/>
          <w:szCs w:val="24"/>
        </w:rPr>
        <w:t xml:space="preserve"> </w:t>
      </w:r>
      <w:r w:rsidR="003C7547">
        <w:rPr>
          <w:rFonts w:ascii="Verdana" w:hAnsi="Verdana"/>
          <w:sz w:val="24"/>
          <w:szCs w:val="24"/>
        </w:rPr>
        <w:t xml:space="preserve">Code of Practice documents </w:t>
      </w:r>
      <w:r w:rsidR="00B25EEC">
        <w:rPr>
          <w:rFonts w:ascii="Verdana" w:hAnsi="Verdana"/>
          <w:sz w:val="24"/>
          <w:szCs w:val="24"/>
        </w:rPr>
        <w:t>are</w:t>
      </w:r>
      <w:r>
        <w:rPr>
          <w:rFonts w:ascii="Verdana" w:hAnsi="Verdana"/>
          <w:sz w:val="24"/>
          <w:szCs w:val="24"/>
        </w:rPr>
        <w:t xml:space="preserve"> </w:t>
      </w:r>
      <w:r w:rsidR="003C7547">
        <w:rPr>
          <w:rFonts w:ascii="Verdana" w:hAnsi="Verdana"/>
          <w:sz w:val="24"/>
          <w:szCs w:val="24"/>
        </w:rPr>
        <w:t xml:space="preserve">published by NSAI </w:t>
      </w:r>
      <w:r>
        <w:rPr>
          <w:rFonts w:ascii="Verdana" w:hAnsi="Verdana"/>
          <w:sz w:val="24"/>
          <w:szCs w:val="24"/>
        </w:rPr>
        <w:t xml:space="preserve">the relevant Authorities </w:t>
      </w:r>
      <w:r w:rsidR="00F82A59">
        <w:rPr>
          <w:rFonts w:ascii="Verdana" w:hAnsi="Verdana"/>
          <w:sz w:val="24"/>
          <w:szCs w:val="24"/>
        </w:rPr>
        <w:t xml:space="preserve">may </w:t>
      </w:r>
      <w:r w:rsidR="001962CC">
        <w:rPr>
          <w:rFonts w:ascii="Verdana" w:hAnsi="Verdana"/>
          <w:sz w:val="24"/>
          <w:szCs w:val="24"/>
        </w:rPr>
        <w:t xml:space="preserve">choose to </w:t>
      </w:r>
      <w:r w:rsidR="00F82A59">
        <w:rPr>
          <w:rFonts w:ascii="Verdana" w:hAnsi="Verdana"/>
          <w:sz w:val="24"/>
          <w:szCs w:val="24"/>
        </w:rPr>
        <w:t>reference them in whatever way they consider appropriate.</w:t>
      </w:r>
      <w:r>
        <w:rPr>
          <w:rFonts w:ascii="Verdana" w:hAnsi="Verdana"/>
          <w:sz w:val="24"/>
          <w:szCs w:val="24"/>
        </w:rPr>
        <w:t xml:space="preserve"> </w:t>
      </w:r>
    </w:p>
    <w:p w:rsidR="00CA63A6" w:rsidRDefault="00CA63A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:rsidR="00CA63A6" w:rsidRDefault="00CA63A6">
      <w:pPr>
        <w:rPr>
          <w:rFonts w:ascii="Verdana" w:hAnsi="Verdana"/>
          <w:sz w:val="24"/>
          <w:szCs w:val="24"/>
        </w:rPr>
      </w:pPr>
    </w:p>
    <w:p w:rsidR="0063721E" w:rsidRDefault="00066F74" w:rsidP="00066F74">
      <w:pPr>
        <w:pStyle w:val="NormalWeb"/>
        <w:spacing w:before="0" w:beforeAutospacing="0" w:after="0" w:afterAutospacing="0"/>
        <w:jc w:val="right"/>
        <w:rPr>
          <w:rStyle w:val="Strong"/>
          <w:rFonts w:ascii="Verdana" w:hAnsi="Verdana"/>
          <w:sz w:val="22"/>
          <w:szCs w:val="22"/>
        </w:rPr>
      </w:pPr>
      <w:r w:rsidRPr="00BE7EED">
        <w:rPr>
          <w:rStyle w:val="Strong"/>
          <w:rFonts w:ascii="Verdana" w:hAnsi="Verdana"/>
          <w:sz w:val="22"/>
          <w:szCs w:val="22"/>
        </w:rPr>
        <w:t>Annex</w:t>
      </w:r>
      <w:r w:rsidR="00A04F56">
        <w:rPr>
          <w:rStyle w:val="Strong"/>
          <w:rFonts w:ascii="Verdana" w:hAnsi="Verdana"/>
          <w:sz w:val="22"/>
          <w:szCs w:val="22"/>
        </w:rPr>
        <w:t xml:space="preserve"> (for information)</w:t>
      </w:r>
      <w:r>
        <w:rPr>
          <w:rStyle w:val="Strong"/>
          <w:rFonts w:ascii="Verdana" w:hAnsi="Verdana"/>
          <w:sz w:val="22"/>
          <w:szCs w:val="22"/>
        </w:rPr>
        <w:t xml:space="preserve"> </w:t>
      </w:r>
    </w:p>
    <w:p w:rsidR="00066F74" w:rsidRDefault="00066F74" w:rsidP="00066F74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2"/>
          <w:szCs w:val="22"/>
          <w:u w:val="single"/>
        </w:rPr>
      </w:pPr>
    </w:p>
    <w:p w:rsidR="00066F74" w:rsidRPr="00D11150" w:rsidRDefault="00066F74" w:rsidP="00066F74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2"/>
          <w:szCs w:val="22"/>
          <w:u w:val="single"/>
        </w:rPr>
      </w:pPr>
      <w:r w:rsidRPr="00D11150">
        <w:rPr>
          <w:rStyle w:val="Strong"/>
          <w:rFonts w:ascii="Verdana" w:hAnsi="Verdana"/>
          <w:sz w:val="22"/>
          <w:szCs w:val="22"/>
          <w:u w:val="single"/>
        </w:rPr>
        <w:t>NSAI Role and Remit</w:t>
      </w:r>
    </w:p>
    <w:p w:rsidR="00066F74" w:rsidRPr="003F6E7A" w:rsidRDefault="00066F74" w:rsidP="00066F74">
      <w:pPr>
        <w:pStyle w:val="NormalWeb"/>
        <w:spacing w:before="0" w:beforeAutospacing="0" w:after="0" w:afterAutospacing="0"/>
        <w:rPr>
          <w:rStyle w:val="Strong"/>
          <w:rFonts w:ascii="Verdana" w:hAnsi="Verdana"/>
          <w:sz w:val="22"/>
          <w:szCs w:val="22"/>
        </w:rPr>
      </w:pPr>
    </w:p>
    <w:p w:rsidR="00066F74" w:rsidRPr="00BE7EED" w:rsidRDefault="00066F74" w:rsidP="00066F74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</w:rPr>
      </w:pPr>
      <w:r w:rsidRPr="00BE7EED">
        <w:rPr>
          <w:rStyle w:val="Strong"/>
          <w:rFonts w:ascii="Verdana" w:hAnsi="Verdana"/>
          <w:b w:val="0"/>
          <w:sz w:val="22"/>
          <w:szCs w:val="22"/>
        </w:rPr>
        <w:t xml:space="preserve">NSAI was established under the National Standards Authority of Ireland (NSAI) Act 1996. </w:t>
      </w:r>
      <w:r>
        <w:rPr>
          <w:rStyle w:val="Strong"/>
          <w:rFonts w:ascii="Verdana" w:hAnsi="Verdana"/>
          <w:b w:val="0"/>
          <w:sz w:val="22"/>
          <w:szCs w:val="22"/>
        </w:rPr>
        <w:t xml:space="preserve"> </w:t>
      </w:r>
      <w:r w:rsidRPr="00BE7EED">
        <w:rPr>
          <w:rStyle w:val="Strong"/>
          <w:rFonts w:ascii="Verdana" w:hAnsi="Verdana"/>
          <w:b w:val="0"/>
          <w:sz w:val="22"/>
          <w:szCs w:val="22"/>
        </w:rPr>
        <w:t xml:space="preserve">Since establishment the National Metrology Laboratory and </w:t>
      </w:r>
      <w:r>
        <w:rPr>
          <w:rStyle w:val="Strong"/>
          <w:rFonts w:ascii="Verdana" w:hAnsi="Verdana"/>
          <w:b w:val="0"/>
          <w:sz w:val="22"/>
          <w:szCs w:val="22"/>
        </w:rPr>
        <w:t xml:space="preserve">the </w:t>
      </w:r>
      <w:r w:rsidRPr="00BE7EED">
        <w:rPr>
          <w:rStyle w:val="Strong"/>
          <w:rFonts w:ascii="Verdana" w:hAnsi="Verdana"/>
          <w:b w:val="0"/>
          <w:sz w:val="22"/>
          <w:szCs w:val="22"/>
        </w:rPr>
        <w:t xml:space="preserve">Legal Metrology </w:t>
      </w:r>
      <w:r>
        <w:rPr>
          <w:rStyle w:val="Strong"/>
          <w:rFonts w:ascii="Verdana" w:hAnsi="Verdana"/>
          <w:b w:val="0"/>
          <w:sz w:val="22"/>
          <w:szCs w:val="22"/>
        </w:rPr>
        <w:t>Service</w:t>
      </w:r>
      <w:r w:rsidRPr="00BE7EED">
        <w:rPr>
          <w:rStyle w:val="Strong"/>
          <w:rFonts w:ascii="Verdana" w:hAnsi="Verdana"/>
          <w:b w:val="0"/>
          <w:sz w:val="22"/>
          <w:szCs w:val="22"/>
        </w:rP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 xml:space="preserve">were merged </w:t>
      </w:r>
      <w:r w:rsidRPr="00BE7EED">
        <w:rPr>
          <w:rStyle w:val="Strong"/>
          <w:rFonts w:ascii="Verdana" w:hAnsi="Verdana"/>
          <w:b w:val="0"/>
          <w:sz w:val="22"/>
          <w:szCs w:val="22"/>
        </w:rPr>
        <w:t xml:space="preserve">into the organisation. </w:t>
      </w:r>
      <w:r w:rsidRPr="00BE7EED">
        <w:rPr>
          <w:rFonts w:ascii="Verdana" w:hAnsi="Verdana"/>
          <w:sz w:val="22"/>
          <w:szCs w:val="22"/>
        </w:rPr>
        <w:t>NSAI now hosts four (i.e. Standardization; Metrology; Legal Metrology and Conformity Assessment) of the five primary technical pillars identified by UNIDO as prerequisites for an efficient trading economy.</w:t>
      </w:r>
    </w:p>
    <w:p w:rsidR="00066F74" w:rsidRPr="00BE7EED" w:rsidRDefault="00066F74" w:rsidP="00066F74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066F74" w:rsidRDefault="00066F74" w:rsidP="00066F74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066F74" w:rsidRPr="003F6E7A" w:rsidRDefault="00066F74" w:rsidP="00066F74">
      <w:pPr>
        <w:pStyle w:val="NormalWeb"/>
        <w:spacing w:before="0" w:beforeAutospacing="0" w:after="0" w:afterAutospacing="0"/>
        <w:rPr>
          <w:rStyle w:val="Strong"/>
          <w:rFonts w:ascii="Verdana" w:hAnsi="Verdana"/>
          <w:b w:val="0"/>
          <w:sz w:val="22"/>
          <w:szCs w:val="22"/>
        </w:rPr>
      </w:pPr>
      <w:r w:rsidRPr="00593AEE">
        <w:rPr>
          <w:rFonts w:ascii="Verdana" w:hAnsi="Verdana"/>
          <w:noProof/>
          <w:sz w:val="20"/>
          <w:szCs w:val="20"/>
        </w:rPr>
        <w:drawing>
          <wp:inline distT="0" distB="0" distL="0" distR="0" wp14:anchorId="2498F6D4" wp14:editId="1B41D871">
            <wp:extent cx="5257800" cy="3533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F74" w:rsidRPr="003F6E7A" w:rsidRDefault="00066F74" w:rsidP="00066F74">
      <w:pPr>
        <w:pStyle w:val="NormalWeb"/>
        <w:spacing w:before="0" w:beforeAutospacing="0" w:after="0" w:afterAutospacing="0"/>
        <w:rPr>
          <w:rStyle w:val="Strong"/>
          <w:rFonts w:ascii="Verdana" w:hAnsi="Verdana"/>
          <w:b w:val="0"/>
          <w:sz w:val="22"/>
          <w:szCs w:val="22"/>
        </w:rPr>
      </w:pPr>
    </w:p>
    <w:p w:rsidR="00066F74" w:rsidRDefault="00066F74" w:rsidP="00066F74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</w:rPr>
      </w:pPr>
    </w:p>
    <w:p w:rsidR="00066F74" w:rsidRDefault="00066F74" w:rsidP="00066F74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</w:rPr>
      </w:pPr>
    </w:p>
    <w:p w:rsidR="00066F74" w:rsidRPr="00D0738F" w:rsidRDefault="00066F74" w:rsidP="00066F74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</w:rPr>
      </w:pPr>
      <w:r w:rsidRPr="00D0738F">
        <w:rPr>
          <w:rFonts w:ascii="Verdana" w:hAnsi="Verdana"/>
          <w:sz w:val="22"/>
          <w:szCs w:val="22"/>
        </w:rPr>
        <w:t>Management of the</w:t>
      </w:r>
      <w:r>
        <w:rPr>
          <w:rFonts w:ascii="Verdana" w:hAnsi="Verdana"/>
          <w:sz w:val="22"/>
          <w:szCs w:val="22"/>
        </w:rPr>
        <w:t>se</w:t>
      </w:r>
      <w:r w:rsidRPr="00D0738F">
        <w:rPr>
          <w:rFonts w:ascii="Verdana" w:hAnsi="Verdana"/>
          <w:sz w:val="22"/>
          <w:szCs w:val="22"/>
        </w:rPr>
        <w:t xml:space="preserve"> policy instruments ensures confidence in the foundation of Ireland’s trade infrastructure.</w:t>
      </w:r>
    </w:p>
    <w:p w:rsidR="00066F74" w:rsidRPr="00D0738F" w:rsidRDefault="00066F74" w:rsidP="00066F74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</w:rPr>
      </w:pPr>
    </w:p>
    <w:p w:rsidR="00066F74" w:rsidRPr="00D0738F" w:rsidRDefault="00066F74" w:rsidP="00066F74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</w:rPr>
      </w:pPr>
    </w:p>
    <w:p w:rsidR="00066F74" w:rsidRPr="00D0738F" w:rsidRDefault="00066F74" w:rsidP="00066F74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</w:rPr>
      </w:pPr>
      <w:r w:rsidRPr="00D0738F">
        <w:rPr>
          <w:rFonts w:ascii="Verdana" w:hAnsi="Verdana"/>
          <w:sz w:val="22"/>
          <w:szCs w:val="22"/>
        </w:rPr>
        <w:t xml:space="preserve">The issue currently under consideration </w:t>
      </w:r>
      <w:r>
        <w:rPr>
          <w:rFonts w:ascii="Verdana" w:hAnsi="Verdana"/>
          <w:sz w:val="22"/>
          <w:szCs w:val="22"/>
        </w:rPr>
        <w:t xml:space="preserve">by the Committee today </w:t>
      </w:r>
      <w:r w:rsidRPr="00D0738F">
        <w:rPr>
          <w:rFonts w:ascii="Verdana" w:hAnsi="Verdana"/>
          <w:sz w:val="22"/>
          <w:szCs w:val="22"/>
        </w:rPr>
        <w:t>relates specifically to Standardization.</w:t>
      </w:r>
    </w:p>
    <w:p w:rsidR="00066F74" w:rsidRDefault="00066F74" w:rsidP="00066F74">
      <w:pPr>
        <w:rPr>
          <w:rFonts w:eastAsia="Times New Roman" w:cs="Times New Roman"/>
          <w:lang w:eastAsia="en-IE"/>
        </w:rPr>
      </w:pPr>
    </w:p>
    <w:p w:rsidR="00066F74" w:rsidRDefault="00066F74" w:rsidP="00066F74">
      <w:pPr>
        <w:rPr>
          <w:rFonts w:ascii="Verdana" w:hAnsi="Verdana"/>
          <w:sz w:val="24"/>
          <w:szCs w:val="24"/>
        </w:rPr>
      </w:pPr>
    </w:p>
    <w:p w:rsidR="00066F74" w:rsidRDefault="00066F74" w:rsidP="00066F74">
      <w:pPr>
        <w:rPr>
          <w:rFonts w:ascii="Verdana" w:hAnsi="Verdana"/>
          <w:sz w:val="24"/>
          <w:szCs w:val="24"/>
        </w:rPr>
      </w:pPr>
    </w:p>
    <w:p w:rsidR="00066F74" w:rsidRDefault="00066F74" w:rsidP="00066F74">
      <w:pPr>
        <w:rPr>
          <w:rFonts w:ascii="Verdana" w:hAnsi="Verdana"/>
          <w:sz w:val="24"/>
          <w:szCs w:val="24"/>
        </w:rPr>
      </w:pPr>
    </w:p>
    <w:p w:rsidR="00E937D9" w:rsidRPr="001800BA" w:rsidRDefault="00E937D9" w:rsidP="00E937D9">
      <w:pPr>
        <w:rPr>
          <w:rFonts w:ascii="Verdana" w:hAnsi="Verdana"/>
          <w:sz w:val="24"/>
          <w:szCs w:val="24"/>
        </w:rPr>
      </w:pPr>
    </w:p>
    <w:sectPr w:rsidR="00E937D9" w:rsidRPr="001800BA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342" w:rsidRDefault="004E2342" w:rsidP="0097526D">
      <w:pPr>
        <w:spacing w:after="0" w:line="240" w:lineRule="auto"/>
      </w:pPr>
      <w:r>
        <w:separator/>
      </w:r>
    </w:p>
  </w:endnote>
  <w:endnote w:type="continuationSeparator" w:id="0">
    <w:p w:rsidR="004E2342" w:rsidRDefault="004E2342" w:rsidP="00975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93706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A0FCA" w:rsidRDefault="00DA0FC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529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529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A0FCA" w:rsidRDefault="00DA0F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342" w:rsidRDefault="004E2342" w:rsidP="0097526D">
      <w:pPr>
        <w:spacing w:after="0" w:line="240" w:lineRule="auto"/>
      </w:pPr>
      <w:r>
        <w:separator/>
      </w:r>
    </w:p>
  </w:footnote>
  <w:footnote w:type="continuationSeparator" w:id="0">
    <w:p w:rsidR="004E2342" w:rsidRDefault="004E2342" w:rsidP="0097526D">
      <w:pPr>
        <w:spacing w:after="0" w:line="240" w:lineRule="auto"/>
      </w:pPr>
      <w:r>
        <w:continuationSeparator/>
      </w:r>
    </w:p>
  </w:footnote>
  <w:footnote w:id="1">
    <w:p w:rsidR="00DA0FCA" w:rsidRDefault="00DA0FCA">
      <w:pPr>
        <w:pStyle w:val="FootnoteText"/>
      </w:pPr>
      <w:r>
        <w:rPr>
          <w:rStyle w:val="FootnoteReference"/>
        </w:rPr>
        <w:footnoteRef/>
      </w:r>
      <w:r>
        <w:t xml:space="preserve"> CEN, CENELEC and ETSI</w:t>
      </w:r>
    </w:p>
  </w:footnote>
  <w:footnote w:id="2">
    <w:p w:rsidR="00DA0FCA" w:rsidRDefault="00DA0FCA">
      <w:pPr>
        <w:pStyle w:val="FootnoteText"/>
      </w:pPr>
      <w:r>
        <w:rPr>
          <w:rStyle w:val="FootnoteReference"/>
        </w:rPr>
        <w:footnoteRef/>
      </w:r>
      <w:r>
        <w:t xml:space="preserve"> ISO, IEC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3E636EA"/>
    <w:multiLevelType w:val="multilevel"/>
    <w:tmpl w:val="E1D6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15EC1"/>
    <w:multiLevelType w:val="hybridMultilevel"/>
    <w:tmpl w:val="A2B0C12C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E138F"/>
    <w:multiLevelType w:val="hybridMultilevel"/>
    <w:tmpl w:val="037CF0CE"/>
    <w:lvl w:ilvl="0" w:tplc="7D021528">
      <w:start w:val="1"/>
      <w:numFmt w:val="bullet"/>
      <w:lvlText w:val="-"/>
      <w:lvlJc w:val="left"/>
      <w:pPr>
        <w:ind w:left="525" w:hanging="360"/>
      </w:pPr>
      <w:rPr>
        <w:rFonts w:ascii="Verdana" w:eastAsiaTheme="minorHAnsi" w:hAnsi="Verdana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">
    <w:nsid w:val="2FF87CAF"/>
    <w:multiLevelType w:val="multilevel"/>
    <w:tmpl w:val="571ADF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5C4A54"/>
    <w:multiLevelType w:val="hybridMultilevel"/>
    <w:tmpl w:val="6100B91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84CB1"/>
    <w:multiLevelType w:val="hybridMultilevel"/>
    <w:tmpl w:val="E588392E"/>
    <w:lvl w:ilvl="0" w:tplc="7D021528">
      <w:start w:val="1"/>
      <w:numFmt w:val="bullet"/>
      <w:lvlText w:val="-"/>
      <w:lvlJc w:val="left"/>
      <w:pPr>
        <w:ind w:left="525" w:hanging="360"/>
      </w:pPr>
      <w:rPr>
        <w:rFonts w:ascii="Verdana" w:eastAsiaTheme="minorHAnsi" w:hAnsi="Verdana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230000"/>
    <w:multiLevelType w:val="hybridMultilevel"/>
    <w:tmpl w:val="5036AC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54EF7"/>
    <w:multiLevelType w:val="hybridMultilevel"/>
    <w:tmpl w:val="2B62DA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4DF"/>
    <w:rsid w:val="00017E02"/>
    <w:rsid w:val="00030C83"/>
    <w:rsid w:val="00066F74"/>
    <w:rsid w:val="00080A3E"/>
    <w:rsid w:val="000B4775"/>
    <w:rsid w:val="000C7336"/>
    <w:rsid w:val="00121191"/>
    <w:rsid w:val="00131EDC"/>
    <w:rsid w:val="0014502D"/>
    <w:rsid w:val="00172DB8"/>
    <w:rsid w:val="001800BA"/>
    <w:rsid w:val="0018018D"/>
    <w:rsid w:val="00193462"/>
    <w:rsid w:val="001962CC"/>
    <w:rsid w:val="001A6421"/>
    <w:rsid w:val="001B5C85"/>
    <w:rsid w:val="001C74E2"/>
    <w:rsid w:val="001E4A9B"/>
    <w:rsid w:val="001E6FA5"/>
    <w:rsid w:val="001F24C7"/>
    <w:rsid w:val="001F4466"/>
    <w:rsid w:val="002055F4"/>
    <w:rsid w:val="00220F32"/>
    <w:rsid w:val="002318C5"/>
    <w:rsid w:val="002417B2"/>
    <w:rsid w:val="00274361"/>
    <w:rsid w:val="00294BBA"/>
    <w:rsid w:val="002B0DD6"/>
    <w:rsid w:val="00323679"/>
    <w:rsid w:val="00324E09"/>
    <w:rsid w:val="0033112A"/>
    <w:rsid w:val="00331944"/>
    <w:rsid w:val="003614D0"/>
    <w:rsid w:val="0036485C"/>
    <w:rsid w:val="00367FC8"/>
    <w:rsid w:val="00375575"/>
    <w:rsid w:val="00390E7A"/>
    <w:rsid w:val="003A76F5"/>
    <w:rsid w:val="003B3393"/>
    <w:rsid w:val="003C7547"/>
    <w:rsid w:val="003D4BFC"/>
    <w:rsid w:val="003E20B0"/>
    <w:rsid w:val="003F3DAA"/>
    <w:rsid w:val="00410AD1"/>
    <w:rsid w:val="004225EA"/>
    <w:rsid w:val="0042726A"/>
    <w:rsid w:val="004623C0"/>
    <w:rsid w:val="00483F93"/>
    <w:rsid w:val="00490DB4"/>
    <w:rsid w:val="0049171A"/>
    <w:rsid w:val="004B70DD"/>
    <w:rsid w:val="004D3FBA"/>
    <w:rsid w:val="004E2342"/>
    <w:rsid w:val="004E3500"/>
    <w:rsid w:val="004E45AD"/>
    <w:rsid w:val="00527795"/>
    <w:rsid w:val="005337F4"/>
    <w:rsid w:val="0054183D"/>
    <w:rsid w:val="005634DF"/>
    <w:rsid w:val="00590519"/>
    <w:rsid w:val="00593AEE"/>
    <w:rsid w:val="00602032"/>
    <w:rsid w:val="006166E8"/>
    <w:rsid w:val="0063721E"/>
    <w:rsid w:val="006400CE"/>
    <w:rsid w:val="00655FED"/>
    <w:rsid w:val="00660FEA"/>
    <w:rsid w:val="00670CCA"/>
    <w:rsid w:val="006C7E55"/>
    <w:rsid w:val="006E2E9A"/>
    <w:rsid w:val="006E3A57"/>
    <w:rsid w:val="007011C3"/>
    <w:rsid w:val="007115F2"/>
    <w:rsid w:val="00723FF9"/>
    <w:rsid w:val="00735CD3"/>
    <w:rsid w:val="007A3ED5"/>
    <w:rsid w:val="007A5E51"/>
    <w:rsid w:val="007B3C35"/>
    <w:rsid w:val="007E514B"/>
    <w:rsid w:val="007E58EE"/>
    <w:rsid w:val="00801C0D"/>
    <w:rsid w:val="008A2BC9"/>
    <w:rsid w:val="008D2155"/>
    <w:rsid w:val="0094646D"/>
    <w:rsid w:val="009619D9"/>
    <w:rsid w:val="00963BAF"/>
    <w:rsid w:val="0097526D"/>
    <w:rsid w:val="00990D5C"/>
    <w:rsid w:val="00991A81"/>
    <w:rsid w:val="00993741"/>
    <w:rsid w:val="009938BA"/>
    <w:rsid w:val="009C4B8A"/>
    <w:rsid w:val="00A002FE"/>
    <w:rsid w:val="00A04F56"/>
    <w:rsid w:val="00A22EF2"/>
    <w:rsid w:val="00A24213"/>
    <w:rsid w:val="00A44A59"/>
    <w:rsid w:val="00A51866"/>
    <w:rsid w:val="00A75295"/>
    <w:rsid w:val="00AB1E0C"/>
    <w:rsid w:val="00AC6211"/>
    <w:rsid w:val="00B25EEC"/>
    <w:rsid w:val="00B73B0B"/>
    <w:rsid w:val="00BD2C03"/>
    <w:rsid w:val="00BE0A63"/>
    <w:rsid w:val="00BE7EED"/>
    <w:rsid w:val="00C03EC6"/>
    <w:rsid w:val="00C143D1"/>
    <w:rsid w:val="00C771F3"/>
    <w:rsid w:val="00C87A0D"/>
    <w:rsid w:val="00C92306"/>
    <w:rsid w:val="00C924B9"/>
    <w:rsid w:val="00CA30F3"/>
    <w:rsid w:val="00CA63A6"/>
    <w:rsid w:val="00CB79E6"/>
    <w:rsid w:val="00CC7BFA"/>
    <w:rsid w:val="00D10A85"/>
    <w:rsid w:val="00D16CF6"/>
    <w:rsid w:val="00D61A07"/>
    <w:rsid w:val="00D6710E"/>
    <w:rsid w:val="00D721CB"/>
    <w:rsid w:val="00DA0FCA"/>
    <w:rsid w:val="00DB66A0"/>
    <w:rsid w:val="00E13930"/>
    <w:rsid w:val="00E937D9"/>
    <w:rsid w:val="00EA4C34"/>
    <w:rsid w:val="00ED0BAE"/>
    <w:rsid w:val="00F128E3"/>
    <w:rsid w:val="00F1586B"/>
    <w:rsid w:val="00F5637B"/>
    <w:rsid w:val="00F81EB2"/>
    <w:rsid w:val="00F82A59"/>
    <w:rsid w:val="00F921B7"/>
    <w:rsid w:val="00F96709"/>
    <w:rsid w:val="00FC1C28"/>
    <w:rsid w:val="00FC2A9D"/>
    <w:rsid w:val="00FC4CDB"/>
    <w:rsid w:val="00FE5F9F"/>
    <w:rsid w:val="00F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87CF584-7D5B-4652-B60F-676985BF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C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752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26D"/>
  </w:style>
  <w:style w:type="paragraph" w:styleId="Footer">
    <w:name w:val="footer"/>
    <w:basedOn w:val="Normal"/>
    <w:link w:val="FooterChar"/>
    <w:uiPriority w:val="99"/>
    <w:unhideWhenUsed/>
    <w:rsid w:val="009752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26D"/>
  </w:style>
  <w:style w:type="paragraph" w:styleId="NormalWeb">
    <w:name w:val="Normal (Web)"/>
    <w:basedOn w:val="Normal"/>
    <w:uiPriority w:val="99"/>
    <w:semiHidden/>
    <w:unhideWhenUsed/>
    <w:rsid w:val="00BE7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BE7EE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36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F24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24C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24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F90EC-3AE3-46AC-AE6D-5FDFCFDED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Mairead Buckley</dc:creator>
  <cp:lastModifiedBy>Mairead Buckley</cp:lastModifiedBy>
  <cp:revision>6</cp:revision>
  <cp:lastPrinted>2015-10-02T12:38:00Z</cp:lastPrinted>
  <dcterms:created xsi:type="dcterms:W3CDTF">2015-10-02T15:48:00Z</dcterms:created>
  <dcterms:modified xsi:type="dcterms:W3CDTF">2015-10-02T16:25:00Z</dcterms:modified>
</cp:coreProperties>
</file>